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82DED" w:rsidRDefault="00000000">
      <w:pPr>
        <w:pStyle w:val="ConsPlusTitle"/>
        <w:widowControl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ДОГОВОР</w:t>
      </w:r>
    </w:p>
    <w:p w:rsidR="00A82DED" w:rsidRDefault="00000000">
      <w:pPr>
        <w:pStyle w:val="ConsPlusTitle"/>
        <w:widowControl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купли-продажи</w:t>
      </w:r>
    </w:p>
    <w:p w:rsidR="00A82DED" w:rsidRDefault="00A82DED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A82DED" w:rsidRDefault="00000000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«_____» ____________ 20__г. 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  <w:t xml:space="preserve">                                                                            г. Санкт-Петербург</w:t>
      </w:r>
    </w:p>
    <w:p w:rsidR="00A82DED" w:rsidRDefault="00000000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</w:p>
    <w:p w:rsidR="00A82DED" w:rsidRDefault="00000000">
      <w:pPr>
        <w:pStyle w:val="StGen0"/>
        <w:rPr>
          <w:sz w:val="16"/>
          <w:szCs w:val="16"/>
        </w:rPr>
      </w:pPr>
      <w:r>
        <w:rPr>
          <w:b/>
          <w:sz w:val="16"/>
          <w:szCs w:val="16"/>
        </w:rPr>
        <w:t>Финансовый управляющий Забаевой Анны Игоревны Железинский Александр Александрович</w:t>
      </w:r>
      <w:r>
        <w:rPr>
          <w:sz w:val="16"/>
          <w:szCs w:val="16"/>
        </w:rPr>
        <w:t xml:space="preserve">, действующий на основании </w:t>
      </w:r>
      <w:r>
        <w:rPr>
          <w:color w:val="333333"/>
          <w:sz w:val="16"/>
          <w:szCs w:val="16"/>
          <w:shd w:val="clear" w:color="auto" w:fill="FFFFFF"/>
        </w:rPr>
        <w:t xml:space="preserve">Решением Арбитражного суда города Санкт-Петербурга и </w:t>
      </w:r>
      <w:proofErr w:type="spellStart"/>
      <w:r>
        <w:rPr>
          <w:color w:val="333333"/>
          <w:sz w:val="16"/>
          <w:szCs w:val="16"/>
          <w:shd w:val="clear" w:color="auto" w:fill="FFFFFF"/>
        </w:rPr>
        <w:t>Ленинградскои</w:t>
      </w:r>
      <w:proofErr w:type="spellEnd"/>
      <w:r>
        <w:rPr>
          <w:color w:val="333333"/>
          <w:sz w:val="16"/>
          <w:szCs w:val="16"/>
          <w:shd w:val="clear" w:color="auto" w:fill="FFFFFF"/>
        </w:rPr>
        <w:t>̆ области от 28.04.2024 г. по делу № А56-121907/2023 ,</w:t>
      </w:r>
      <w:r>
        <w:rPr>
          <w:sz w:val="16"/>
          <w:szCs w:val="16"/>
        </w:rPr>
        <w:t xml:space="preserve"> именуемый в дальнейшем </w:t>
      </w:r>
      <w:r>
        <w:rPr>
          <w:b/>
          <w:sz w:val="16"/>
          <w:szCs w:val="16"/>
        </w:rPr>
        <w:t>«Продавец»</w:t>
      </w:r>
      <w:r>
        <w:rPr>
          <w:sz w:val="16"/>
          <w:szCs w:val="16"/>
        </w:rPr>
        <w:t xml:space="preserve">, с одной стороны, и </w:t>
      </w:r>
      <w:r>
        <w:rPr>
          <w:b/>
          <w:sz w:val="16"/>
          <w:szCs w:val="16"/>
        </w:rPr>
        <w:t>_______________________________________________________</w:t>
      </w:r>
      <w:r>
        <w:rPr>
          <w:sz w:val="16"/>
          <w:szCs w:val="16"/>
        </w:rPr>
        <w:t>именуемый (</w:t>
      </w:r>
      <w:proofErr w:type="spellStart"/>
      <w:r>
        <w:rPr>
          <w:sz w:val="16"/>
          <w:szCs w:val="16"/>
        </w:rPr>
        <w:t>ая</w:t>
      </w:r>
      <w:proofErr w:type="spellEnd"/>
      <w:r>
        <w:rPr>
          <w:sz w:val="16"/>
          <w:szCs w:val="16"/>
        </w:rPr>
        <w:t xml:space="preserve">) в дальнейшем </w:t>
      </w:r>
      <w:r>
        <w:rPr>
          <w:b/>
          <w:sz w:val="16"/>
          <w:szCs w:val="16"/>
        </w:rPr>
        <w:t>«Покупатель»</w:t>
      </w:r>
      <w:r>
        <w:rPr>
          <w:sz w:val="16"/>
          <w:szCs w:val="16"/>
        </w:rPr>
        <w:t>, с другой стороны, заключили настоящий Договор о нижеследующем:</w:t>
      </w:r>
    </w:p>
    <w:p w:rsidR="00A82DED" w:rsidRDefault="00A82DED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A82DED" w:rsidRDefault="00000000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1. ПРЕДМЕТ ДОГОВОРА</w:t>
      </w:r>
    </w:p>
    <w:p w:rsidR="00A82DED" w:rsidRDefault="00A82DED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:rsidR="00A82DED" w:rsidRDefault="00000000">
      <w:pPr>
        <w:pStyle w:val="af9"/>
        <w:numPr>
          <w:ilvl w:val="1"/>
          <w:numId w:val="1"/>
        </w:numPr>
        <w:jc w:val="both"/>
        <w:rPr>
          <w:color w:val="333333"/>
          <w:sz w:val="16"/>
          <w:szCs w:val="16"/>
          <w:shd w:val="clear" w:color="auto" w:fill="FFFFFF"/>
        </w:rPr>
      </w:pPr>
      <w:r>
        <w:rPr>
          <w:sz w:val="16"/>
          <w:szCs w:val="16"/>
        </w:rPr>
        <w:t>В соответствии с настоящим Договором Продавец обязуется передать в собственность Покупателю, а Покупатель - принять и оплатить в порядке, предусмотренном настоящим договором следующее имущество:</w:t>
      </w:r>
      <w:r>
        <w:rPr>
          <w:color w:val="333333"/>
          <w:sz w:val="16"/>
          <w:szCs w:val="16"/>
          <w:shd w:val="clear" w:color="auto" w:fill="EAF1F7"/>
        </w:rPr>
        <w:t xml:space="preserve"> </w:t>
      </w:r>
    </w:p>
    <w:p w:rsidR="00A82DED" w:rsidRDefault="00A82DED">
      <w:pPr>
        <w:pStyle w:val="af9"/>
        <w:ind w:left="1069"/>
        <w:jc w:val="both"/>
        <w:rPr>
          <w:color w:val="333333"/>
          <w:sz w:val="16"/>
          <w:szCs w:val="16"/>
          <w:shd w:val="clear" w:color="auto" w:fill="FFFFFF"/>
        </w:rPr>
      </w:pPr>
    </w:p>
    <w:p w:rsidR="00243CC1" w:rsidRPr="00243CC1" w:rsidRDefault="00000000" w:rsidP="00243CC1">
      <w:pPr>
        <w:pStyle w:val="StGen0"/>
        <w:shd w:val="clear" w:color="auto" w:fill="FFFFFF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Лот</w:t>
      </w:r>
      <w:r w:rsidRPr="00D2231A">
        <w:rPr>
          <w:b/>
          <w:bCs/>
          <w:sz w:val="16"/>
          <w:szCs w:val="16"/>
        </w:rPr>
        <w:t xml:space="preserve"> №1:</w:t>
      </w:r>
      <w:r w:rsidRPr="00D2231A">
        <w:rPr>
          <w:sz w:val="16"/>
          <w:szCs w:val="16"/>
        </w:rPr>
        <w:t xml:space="preserve"> </w:t>
      </w:r>
      <w:r w:rsidRPr="00D2231A">
        <w:rPr>
          <w:b/>
          <w:bCs/>
          <w:sz w:val="16"/>
          <w:szCs w:val="16"/>
        </w:rPr>
        <w:t xml:space="preserve">транспортное средство – </w:t>
      </w:r>
      <w:r w:rsidR="00243CC1" w:rsidRPr="00243CC1">
        <w:rPr>
          <w:b/>
          <w:bCs/>
          <w:sz w:val="16"/>
          <w:szCs w:val="16"/>
        </w:rPr>
        <w:t>легковой автомобиль марка – Ford Mondeo, категория ТС В, VIN X9FDXXEEBDBJ20622, год выпуска ТС 2011. Не на ходу. Разукомплектован. Имущество реализуется в состоянии 'как есть'. С учетом нахождения в длительной эксплуатации транспортное средство имеет косметические и технические повреждения, в связи эксплуатационным износом возможны нарушения в работе узлов, компонентов, агрегатов и иные технические неисправности имущества, маркировка транспортного средства и (или) маркировка основного компонента транспортного средства может быть уничтожена, изменена, повреждена. Регистрационные данные транспортного средства, маркировка транспортного средства, маркировка основных компонентов указана из документов, идентифицирующих имущество.</w:t>
      </w:r>
    </w:p>
    <w:p w:rsidR="00243CC1" w:rsidRDefault="00243CC1" w:rsidP="00243CC1">
      <w:pPr>
        <w:pStyle w:val="StGen0"/>
        <w:shd w:val="clear" w:color="auto" w:fill="FFFFFF"/>
        <w:rPr>
          <w:b/>
          <w:bCs/>
          <w:sz w:val="16"/>
          <w:szCs w:val="16"/>
        </w:rPr>
      </w:pPr>
      <w:r w:rsidRPr="00243CC1">
        <w:rPr>
          <w:b/>
          <w:bCs/>
          <w:sz w:val="16"/>
          <w:szCs w:val="16"/>
        </w:rPr>
        <w:t>Находится в залоге у АО «</w:t>
      </w:r>
      <w:proofErr w:type="spellStart"/>
      <w:r w:rsidRPr="00243CC1">
        <w:rPr>
          <w:b/>
          <w:bCs/>
          <w:sz w:val="16"/>
          <w:szCs w:val="16"/>
        </w:rPr>
        <w:t>ТБанк</w:t>
      </w:r>
      <w:proofErr w:type="spellEnd"/>
      <w:r w:rsidRPr="00243CC1">
        <w:rPr>
          <w:b/>
          <w:bCs/>
          <w:sz w:val="16"/>
          <w:szCs w:val="16"/>
        </w:rPr>
        <w:t>».</w:t>
      </w:r>
    </w:p>
    <w:p w:rsidR="00A82DED" w:rsidRDefault="00000000" w:rsidP="00243CC1">
      <w:pPr>
        <w:pStyle w:val="StGen0"/>
        <w:shd w:val="clear" w:color="auto" w:fill="FFFFFF"/>
        <w:ind w:firstLine="708"/>
        <w:rPr>
          <w:sz w:val="16"/>
          <w:szCs w:val="16"/>
        </w:rPr>
      </w:pPr>
      <w:r>
        <w:rPr>
          <w:sz w:val="16"/>
          <w:szCs w:val="16"/>
        </w:rPr>
        <w:t>1.2. Акт приема-передачи имущества заключается с Покупателем после полной оплаты.</w:t>
      </w:r>
    </w:p>
    <w:p w:rsidR="00A82DED" w:rsidRDefault="00000000">
      <w:pPr>
        <w:pStyle w:val="ConsPlusNormal"/>
        <w:widowControl/>
        <w:ind w:firstLine="708"/>
        <w:jc w:val="both"/>
        <w:rPr>
          <w:rFonts w:ascii="Times New Roman" w:hAnsi="Times New Roman" w:cs="Times New Roman"/>
          <w:sz w:val="16"/>
          <w:szCs w:val="16"/>
          <w:lang w:eastAsia="ru-RU"/>
        </w:rPr>
      </w:pPr>
      <w:r>
        <w:rPr>
          <w:rFonts w:ascii="Times New Roman" w:hAnsi="Times New Roman" w:cs="Times New Roman"/>
          <w:sz w:val="16"/>
          <w:szCs w:val="16"/>
        </w:rPr>
        <w:t xml:space="preserve">1.3.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Отчуждаемое </w:t>
      </w:r>
      <w:r>
        <w:rPr>
          <w:rFonts w:ascii="Times New Roman" w:hAnsi="Times New Roman" w:cs="Times New Roman"/>
          <w:sz w:val="16"/>
          <w:szCs w:val="16"/>
          <w:lang w:eastAsia="ru-RU"/>
        </w:rPr>
        <w:t>имущество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, являющееся предметом настоящего договора, до его подписания </w:t>
      </w:r>
      <w:r>
        <w:rPr>
          <w:rFonts w:ascii="Times New Roman" w:hAnsi="Times New Roman" w:cs="Times New Roman"/>
          <w:sz w:val="16"/>
          <w:szCs w:val="16"/>
          <w:lang w:eastAsia="ru-RU"/>
        </w:rPr>
        <w:t xml:space="preserve">сторонами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осмотрено. Претензий к качественному состоянию </w:t>
      </w:r>
      <w:r>
        <w:rPr>
          <w:rFonts w:ascii="Times New Roman" w:hAnsi="Times New Roman" w:cs="Times New Roman"/>
          <w:sz w:val="16"/>
          <w:szCs w:val="16"/>
          <w:lang w:eastAsia="ru-RU"/>
        </w:rPr>
        <w:t>имущества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П</w:t>
      </w:r>
      <w:r>
        <w:rPr>
          <w:rFonts w:ascii="Times New Roman" w:hAnsi="Times New Roman" w:cs="Times New Roman"/>
          <w:sz w:val="16"/>
          <w:szCs w:val="16"/>
          <w:lang w:eastAsia="ru-RU"/>
        </w:rPr>
        <w:t>окупатель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не имеет. </w:t>
      </w:r>
    </w:p>
    <w:p w:rsidR="00A82DED" w:rsidRDefault="00A82DED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:rsidR="00A82DED" w:rsidRDefault="00000000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 ЦЕНА ДОГОВОРА И РАСЧЕТЫ СТОРОН</w:t>
      </w:r>
    </w:p>
    <w:p w:rsidR="00A82DED" w:rsidRDefault="00A82DED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:rsidR="00A82DED" w:rsidRDefault="00000000">
      <w:pPr>
        <w:pStyle w:val="ConsPlusNormal"/>
        <w:widowControl/>
        <w:ind w:firstLine="540"/>
        <w:jc w:val="both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2.1. </w:t>
      </w:r>
      <w:r>
        <w:rPr>
          <w:rFonts w:ascii="Times New Roman" w:hAnsi="Times New Roman" w:cs="Times New Roman"/>
          <w:bCs/>
          <w:sz w:val="16"/>
          <w:szCs w:val="16"/>
        </w:rPr>
        <w:t xml:space="preserve">Общая стоимость имущества составляет </w:t>
      </w:r>
      <w:r>
        <w:rPr>
          <w:rFonts w:ascii="Times New Roman" w:hAnsi="Times New Roman" w:cs="Times New Roman"/>
          <w:b/>
          <w:bCs/>
          <w:sz w:val="16"/>
          <w:szCs w:val="16"/>
        </w:rPr>
        <w:t>_____________________________________________________</w:t>
      </w:r>
      <w:r>
        <w:rPr>
          <w:rFonts w:ascii="Times New Roman" w:hAnsi="Times New Roman" w:cs="Times New Roman"/>
          <w:b/>
          <w:sz w:val="16"/>
          <w:szCs w:val="16"/>
        </w:rPr>
        <w:t xml:space="preserve"> </w:t>
      </w:r>
    </w:p>
    <w:p w:rsidR="00A82DED" w:rsidRDefault="00000000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(_____________________________________________________________________________________) рублей</w:t>
      </w:r>
      <w:r>
        <w:rPr>
          <w:rFonts w:ascii="Times New Roman" w:hAnsi="Times New Roman" w:cs="Times New Roman"/>
          <w:b/>
          <w:bCs/>
          <w:sz w:val="16"/>
          <w:szCs w:val="16"/>
        </w:rPr>
        <w:t>.</w:t>
      </w:r>
      <w:r>
        <w:rPr>
          <w:rFonts w:ascii="Times New Roman" w:hAnsi="Times New Roman" w:cs="Times New Roman"/>
          <w:bCs/>
          <w:sz w:val="16"/>
          <w:szCs w:val="16"/>
        </w:rPr>
        <w:t xml:space="preserve"> </w:t>
      </w:r>
    </w:p>
    <w:p w:rsidR="00A82DED" w:rsidRDefault="00000000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2.2. Оплата производится в течение 30 дней </w:t>
      </w:r>
      <w:r>
        <w:rPr>
          <w:rFonts w:ascii="Times New Roman" w:hAnsi="Times New Roman" w:cs="Times New Roman"/>
          <w:bCs/>
          <w:sz w:val="16"/>
          <w:szCs w:val="16"/>
        </w:rPr>
        <w:t>с момента подписания договора.</w:t>
      </w:r>
    </w:p>
    <w:p w:rsidR="00A82DED" w:rsidRDefault="00000000">
      <w:pPr>
        <w:pStyle w:val="ConsPlusNormal"/>
        <w:widowControl/>
        <w:tabs>
          <w:tab w:val="left" w:pos="993"/>
        </w:tabs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2.3. Оплата производиться путем безналичного перечисления денежных средств на счет Продавца. </w:t>
      </w:r>
    </w:p>
    <w:p w:rsidR="00A82DED" w:rsidRDefault="00A82DED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A82DED" w:rsidRDefault="00000000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 РАЗРЕШЕНИЕ СПОРОВ</w:t>
      </w:r>
    </w:p>
    <w:p w:rsidR="00A82DED" w:rsidRDefault="00A82DED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:rsidR="00A82DED" w:rsidRDefault="00000000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3.1. Все споры и разногласия, которые могут возникнуть между сторонами по вопросам, не нашедшим своего разрешения в тексте данного Договора, будут разрешаться путем переговоров на основе действующего законодательства.</w:t>
      </w:r>
    </w:p>
    <w:p w:rsidR="00A82DED" w:rsidRDefault="00000000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3.2. При не урегулировании в процессе переговоров спорных вопросов они разрешаются в суде в порядке, установленном действующим законодательством.</w:t>
      </w:r>
    </w:p>
    <w:p w:rsidR="00A82DED" w:rsidRDefault="00000000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3.3. В случае нарушения Покупателем установленных договором сроков оплаты имущества, Продавец вправе отказаться от исполнения договора, при этом договор считается расторгнутым с момента направления Продавцом соответствующего уведомления Покупателю. </w:t>
      </w:r>
    </w:p>
    <w:p w:rsidR="00A82DED" w:rsidRDefault="00A82DED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:rsidR="00A82DED" w:rsidRDefault="00000000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</w:p>
    <w:p w:rsidR="00A82DED" w:rsidRDefault="00000000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 ЗАКЛЮЧИТЕЛЬНЫЕ ПОЛОЖЕНИЯ</w:t>
      </w:r>
    </w:p>
    <w:p w:rsidR="00A82DED" w:rsidRDefault="00A82DED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:rsidR="00A82DED" w:rsidRDefault="00000000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4.1. Во всем, что не предусмотрено настоящим Договором, стороны руководствуются действующим законодательством РФ.</w:t>
      </w:r>
    </w:p>
    <w:p w:rsidR="00A82DED" w:rsidRDefault="00000000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4.2. Любые изменения и дополнения к настоящему Договору действительны при условии, если они совершены в письменной форме, подписаны сторонами и зарегистрированы в установленном порядке.</w:t>
      </w:r>
    </w:p>
    <w:p w:rsidR="00A82DED" w:rsidRDefault="00000000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4.3. Настоящий Договор, может быть, расторгнут в установленном законодательством порядке до регистрации перехода права собственности к Покупателю.</w:t>
      </w:r>
    </w:p>
    <w:p w:rsidR="00A82DED" w:rsidRDefault="00000000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4.4. Настоящий договор составлен в двух экземплярах, имеющих одинаковую юридическую силу, по одному экземпляру для каждой из сторон.</w:t>
      </w:r>
    </w:p>
    <w:p w:rsidR="00A82DED" w:rsidRDefault="00A82DED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A82DED" w:rsidRDefault="00000000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АДРЕСА И ПОДПИСИ СТОРОН:</w:t>
      </w:r>
    </w:p>
    <w:p w:rsidR="00A82DED" w:rsidRDefault="00A82DED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94"/>
        <w:gridCol w:w="5369"/>
      </w:tblGrid>
      <w:tr w:rsidR="00A82DED">
        <w:tc>
          <w:tcPr>
            <w:tcW w:w="5494" w:type="dxa"/>
          </w:tcPr>
          <w:p w:rsidR="00A82DED" w:rsidRDefault="00000000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Продавец:</w:t>
            </w:r>
          </w:p>
          <w:p w:rsidR="00A82DED" w:rsidRDefault="00000000">
            <w:pPr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Финансовый управляющий Забаевой Анны Игоревны Железинский Александр Александрович</w:t>
            </w:r>
            <w:r>
              <w:rPr>
                <w:sz w:val="16"/>
                <w:szCs w:val="16"/>
              </w:rPr>
              <w:br/>
              <w:t>Получатель Железинский Александр Александрович</w:t>
            </w:r>
          </w:p>
          <w:p w:rsidR="00A82DED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Номер счета 40817810600038318482</w:t>
            </w:r>
          </w:p>
          <w:p w:rsidR="00A82DED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БИК 044525974</w:t>
            </w:r>
          </w:p>
          <w:p w:rsidR="00A82DED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Банк-получатель АО «ТБанк»</w:t>
            </w:r>
          </w:p>
          <w:p w:rsidR="00A82DED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Корр. счет 30101810145250000974</w:t>
            </w:r>
          </w:p>
          <w:p w:rsidR="00A82DED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ИНН 7710140679</w:t>
            </w:r>
          </w:p>
          <w:p w:rsidR="00A82DED" w:rsidRDefault="0000000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КПП 771301001</w:t>
            </w:r>
            <w:r>
              <w:rPr>
                <w:sz w:val="16"/>
                <w:szCs w:val="16"/>
              </w:rPr>
              <w:br/>
            </w:r>
            <w:r>
              <w:rPr>
                <w:sz w:val="16"/>
                <w:szCs w:val="16"/>
              </w:rPr>
              <w:br/>
            </w:r>
          </w:p>
          <w:p w:rsidR="00A82DED" w:rsidRDefault="00A82DED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82DED" w:rsidRDefault="00000000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Финансовый управляющий                            </w:t>
            </w:r>
          </w:p>
          <w:p w:rsidR="00A82DED" w:rsidRDefault="0000000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Забаевой Анны Игоревны Железинский А.А.</w:t>
            </w:r>
          </w:p>
          <w:p w:rsidR="00A82DED" w:rsidRDefault="00A82DED">
            <w:pPr>
              <w:rPr>
                <w:rFonts w:eastAsia="Arial"/>
                <w:b/>
                <w:sz w:val="16"/>
                <w:szCs w:val="16"/>
              </w:rPr>
            </w:pPr>
          </w:p>
          <w:p w:rsidR="00A82DED" w:rsidRDefault="00A82DED">
            <w:pPr>
              <w:rPr>
                <w:rFonts w:eastAsia="Arial"/>
                <w:b/>
                <w:sz w:val="16"/>
                <w:szCs w:val="16"/>
              </w:rPr>
            </w:pPr>
          </w:p>
          <w:p w:rsidR="00A82DED" w:rsidRDefault="00A82DED">
            <w:pPr>
              <w:rPr>
                <w:rFonts w:eastAsia="Arial"/>
                <w:sz w:val="16"/>
                <w:szCs w:val="16"/>
              </w:rPr>
            </w:pPr>
          </w:p>
        </w:tc>
        <w:tc>
          <w:tcPr>
            <w:tcW w:w="5495" w:type="dxa"/>
          </w:tcPr>
          <w:p w:rsidR="00A82DED" w:rsidRDefault="00000000">
            <w:pPr>
              <w:rPr>
                <w:rFonts w:eastAsia="Arial"/>
                <w:sz w:val="16"/>
                <w:szCs w:val="16"/>
              </w:rPr>
            </w:pPr>
            <w:r>
              <w:rPr>
                <w:rFonts w:eastAsia="Arial"/>
                <w:sz w:val="16"/>
                <w:szCs w:val="16"/>
              </w:rPr>
              <w:t>Покупатель:</w:t>
            </w:r>
          </w:p>
          <w:p w:rsidR="00A82DED" w:rsidRDefault="00A82DED">
            <w:pPr>
              <w:rPr>
                <w:rFonts w:eastAsia="Arial"/>
                <w:sz w:val="16"/>
                <w:szCs w:val="16"/>
              </w:rPr>
            </w:pPr>
          </w:p>
        </w:tc>
      </w:tr>
    </w:tbl>
    <w:p w:rsidR="00A82DED" w:rsidRDefault="00A82DED">
      <w:pPr>
        <w:jc w:val="both"/>
        <w:rPr>
          <w:sz w:val="16"/>
          <w:szCs w:val="16"/>
        </w:rPr>
      </w:pPr>
    </w:p>
    <w:sectPr w:rsidR="00A82DED">
      <w:pgSz w:w="11906" w:h="16838"/>
      <w:pgMar w:top="632" w:right="566" w:bottom="284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14CB0" w:rsidRDefault="00314CB0">
      <w:r>
        <w:separator/>
      </w:r>
    </w:p>
  </w:endnote>
  <w:endnote w:type="continuationSeparator" w:id="0">
    <w:p w:rsidR="00314CB0" w:rsidRDefault="00314C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14CB0" w:rsidRDefault="00314CB0">
      <w:r>
        <w:separator/>
      </w:r>
    </w:p>
  </w:footnote>
  <w:footnote w:type="continuationSeparator" w:id="0">
    <w:p w:rsidR="00314CB0" w:rsidRDefault="00314C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8F537B"/>
    <w:multiLevelType w:val="multilevel"/>
    <w:tmpl w:val="2A8F537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5334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7112" w:hanging="1440"/>
      </w:pPr>
      <w:rPr>
        <w:rFonts w:hint="default"/>
        <w:color w:val="auto"/>
      </w:rPr>
    </w:lvl>
  </w:abstractNum>
  <w:num w:numId="1" w16cid:durableId="4359075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2DED"/>
    <w:rsid w:val="00122B1B"/>
    <w:rsid w:val="00243CC1"/>
    <w:rsid w:val="00314CB0"/>
    <w:rsid w:val="00A82DED"/>
    <w:rsid w:val="00D2231A"/>
    <w:rsid w:val="77B40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2611B93"/>
  <w15:docId w15:val="{02AA3B49-EEE4-1147-82D5-6ACCDFAE0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/>
    <w:lsdException w:name="toc 4" w:uiPriority="39" w:unhideWhenUsed="1" w:qFormat="1"/>
    <w:lsdException w:name="toc 5" w:uiPriority="39" w:unhideWhenUsed="1"/>
    <w:lsdException w:name="toc 6" w:uiPriority="39" w:unhideWhenUsed="1"/>
    <w:lsdException w:name="toc 7" w:uiPriority="39" w:unhideWhenUsed="1" w:qFormat="1"/>
    <w:lsdException w:name="toc 8" w:uiPriority="39" w:unhideWhenUsed="1" w:qFormat="1"/>
    <w:lsdException w:name="toc 9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unhideWhenUsed="1" w:qFormat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iPriority="0" w:qFormat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basedOn w:val="a0"/>
    <w:uiPriority w:val="99"/>
    <w:unhideWhenUsed/>
    <w:qFormat/>
    <w:rPr>
      <w:vertAlign w:val="superscript"/>
    </w:rPr>
  </w:style>
  <w:style w:type="character" w:styleId="a4">
    <w:name w:val="endnote reference"/>
    <w:basedOn w:val="a0"/>
    <w:uiPriority w:val="99"/>
    <w:semiHidden/>
    <w:unhideWhenUsed/>
    <w:qFormat/>
    <w:rPr>
      <w:vertAlign w:val="superscript"/>
    </w:rPr>
  </w:style>
  <w:style w:type="character" w:styleId="a5">
    <w:name w:val="Hyperlink"/>
    <w:uiPriority w:val="99"/>
    <w:unhideWhenUsed/>
    <w:qFormat/>
    <w:rPr>
      <w:color w:val="0563C1" w:themeColor="hyperlink"/>
      <w:u w:val="single"/>
    </w:rPr>
  </w:style>
  <w:style w:type="paragraph" w:styleId="31">
    <w:name w:val="Body Text Indent 3"/>
    <w:basedOn w:val="a"/>
    <w:link w:val="32"/>
    <w:qFormat/>
    <w:pPr>
      <w:ind w:firstLine="283"/>
      <w:jc w:val="both"/>
    </w:pPr>
    <w:rPr>
      <w:sz w:val="20"/>
      <w:lang w:eastAsia="ru-RU"/>
    </w:rPr>
  </w:style>
  <w:style w:type="paragraph" w:styleId="a6">
    <w:name w:val="endnote text"/>
    <w:basedOn w:val="a"/>
    <w:link w:val="a7"/>
    <w:uiPriority w:val="99"/>
    <w:semiHidden/>
    <w:unhideWhenUsed/>
    <w:rPr>
      <w:sz w:val="20"/>
    </w:rPr>
  </w:style>
  <w:style w:type="paragraph" w:styleId="a8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paragraph" w:styleId="a9">
    <w:name w:val="footnote text"/>
    <w:basedOn w:val="a"/>
    <w:link w:val="aa"/>
    <w:uiPriority w:val="99"/>
    <w:semiHidden/>
    <w:unhideWhenUsed/>
    <w:pPr>
      <w:spacing w:after="40"/>
    </w:pPr>
    <w:rPr>
      <w:sz w:val="18"/>
    </w:rPr>
  </w:style>
  <w:style w:type="paragraph" w:styleId="81">
    <w:name w:val="toc 8"/>
    <w:basedOn w:val="a"/>
    <w:next w:val="a"/>
    <w:uiPriority w:val="39"/>
    <w:unhideWhenUsed/>
    <w:qFormat/>
    <w:pPr>
      <w:spacing w:after="57"/>
      <w:ind w:left="1984"/>
    </w:pPr>
  </w:style>
  <w:style w:type="paragraph" w:styleId="ab">
    <w:name w:val="header"/>
    <w:basedOn w:val="a"/>
    <w:link w:val="ac"/>
    <w:uiPriority w:val="99"/>
    <w:unhideWhenUsed/>
    <w:qFormat/>
    <w:pPr>
      <w:tabs>
        <w:tab w:val="center" w:pos="7143"/>
        <w:tab w:val="right" w:pos="14287"/>
      </w:tabs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71">
    <w:name w:val="toc 7"/>
    <w:basedOn w:val="a"/>
    <w:next w:val="a"/>
    <w:uiPriority w:val="39"/>
    <w:unhideWhenUsed/>
    <w:qFormat/>
    <w:pPr>
      <w:spacing w:after="57"/>
      <w:ind w:left="1701"/>
    </w:pPr>
  </w:style>
  <w:style w:type="paragraph" w:styleId="11">
    <w:name w:val="toc 1"/>
    <w:basedOn w:val="a"/>
    <w:next w:val="a"/>
    <w:uiPriority w:val="39"/>
    <w:unhideWhenUsed/>
    <w:qFormat/>
    <w:pPr>
      <w:spacing w:after="57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ad">
    <w:name w:val="table of figures"/>
    <w:basedOn w:val="a"/>
    <w:next w:val="a"/>
    <w:uiPriority w:val="99"/>
    <w:unhideWhenUsed/>
    <w:qFormat/>
  </w:style>
  <w:style w:type="paragraph" w:styleId="33">
    <w:name w:val="toc 3"/>
    <w:basedOn w:val="a"/>
    <w:next w:val="a"/>
    <w:uiPriority w:val="39"/>
    <w:unhideWhenUsed/>
    <w:pPr>
      <w:spacing w:after="57"/>
      <w:ind w:left="567"/>
    </w:pPr>
  </w:style>
  <w:style w:type="paragraph" w:styleId="21">
    <w:name w:val="toc 2"/>
    <w:basedOn w:val="a"/>
    <w:next w:val="a"/>
    <w:uiPriority w:val="39"/>
    <w:unhideWhenUsed/>
    <w:qFormat/>
    <w:pPr>
      <w:spacing w:after="57"/>
      <w:ind w:left="283"/>
    </w:pPr>
  </w:style>
  <w:style w:type="paragraph" w:styleId="41">
    <w:name w:val="toc 4"/>
    <w:basedOn w:val="a"/>
    <w:next w:val="a"/>
    <w:uiPriority w:val="39"/>
    <w:unhideWhenUsed/>
    <w:qFormat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ae">
    <w:name w:val="Title"/>
    <w:basedOn w:val="a"/>
    <w:next w:val="a"/>
    <w:link w:val="af"/>
    <w:uiPriority w:val="10"/>
    <w:qFormat/>
    <w:pPr>
      <w:spacing w:before="300" w:after="200"/>
      <w:contextualSpacing/>
    </w:pPr>
    <w:rPr>
      <w:sz w:val="48"/>
      <w:szCs w:val="48"/>
    </w:rPr>
  </w:style>
  <w:style w:type="paragraph" w:styleId="af0">
    <w:name w:val="footer"/>
    <w:basedOn w:val="a"/>
    <w:link w:val="af1"/>
    <w:qFormat/>
    <w:pPr>
      <w:tabs>
        <w:tab w:val="center" w:pos="4677"/>
        <w:tab w:val="right" w:pos="9355"/>
      </w:tabs>
    </w:pPr>
    <w:rPr>
      <w:lang w:eastAsia="ru-RU"/>
    </w:rPr>
  </w:style>
  <w:style w:type="paragraph" w:styleId="af2">
    <w:name w:val="Normal (Web)"/>
    <w:basedOn w:val="a"/>
    <w:uiPriority w:val="99"/>
    <w:semiHidden/>
    <w:unhideWhenUsed/>
    <w:qFormat/>
  </w:style>
  <w:style w:type="paragraph" w:styleId="af3">
    <w:name w:val="Subtitle"/>
    <w:basedOn w:val="a"/>
    <w:next w:val="a"/>
    <w:link w:val="af4"/>
    <w:uiPriority w:val="11"/>
    <w:qFormat/>
    <w:pPr>
      <w:spacing w:before="200" w:after="200"/>
    </w:pPr>
  </w:style>
  <w:style w:type="table" w:styleId="af5">
    <w:name w:val="Table Grid"/>
    <w:basedOn w:val="a1"/>
    <w:uiPriority w:val="59"/>
    <w:qFormat/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0">
    <w:name w:val="Заголовок 1 Знак"/>
    <w:basedOn w:val="a0"/>
    <w:link w:val="1"/>
    <w:uiPriority w:val="9"/>
    <w:qFormat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qFormat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qFormat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qFormat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qFormat/>
    <w:rPr>
      <w:rFonts w:ascii="Arial" w:eastAsia="Arial" w:hAnsi="Arial" w:cs="Arial"/>
      <w:i/>
      <w:iCs/>
      <w:sz w:val="21"/>
      <w:szCs w:val="21"/>
    </w:rPr>
  </w:style>
  <w:style w:type="character" w:customStyle="1" w:styleId="af">
    <w:name w:val="Заголовок Знак"/>
    <w:basedOn w:val="a0"/>
    <w:link w:val="ae"/>
    <w:uiPriority w:val="10"/>
    <w:qFormat/>
    <w:rPr>
      <w:sz w:val="48"/>
      <w:szCs w:val="48"/>
    </w:rPr>
  </w:style>
  <w:style w:type="character" w:customStyle="1" w:styleId="af4">
    <w:name w:val="Подзаголовок Знак"/>
    <w:basedOn w:val="a0"/>
    <w:link w:val="af3"/>
    <w:uiPriority w:val="11"/>
    <w:qFormat/>
    <w:rPr>
      <w:sz w:val="24"/>
      <w:szCs w:val="24"/>
    </w:rPr>
  </w:style>
  <w:style w:type="paragraph" w:styleId="22">
    <w:name w:val="Quote"/>
    <w:basedOn w:val="a"/>
    <w:next w:val="a"/>
    <w:link w:val="23"/>
    <w:uiPriority w:val="29"/>
    <w:qFormat/>
    <w:pPr>
      <w:ind w:left="720" w:right="720"/>
    </w:pPr>
    <w:rPr>
      <w:i/>
    </w:rPr>
  </w:style>
  <w:style w:type="character" w:customStyle="1" w:styleId="23">
    <w:name w:val="Цитата 2 Знак"/>
    <w:link w:val="22"/>
    <w:uiPriority w:val="29"/>
    <w:qFormat/>
    <w:rPr>
      <w:i/>
    </w:rPr>
  </w:style>
  <w:style w:type="paragraph" w:styleId="af6">
    <w:name w:val="Intense Quote"/>
    <w:basedOn w:val="a"/>
    <w:next w:val="a"/>
    <w:link w:val="af7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f7">
    <w:name w:val="Выделенная цитата Знак"/>
    <w:link w:val="af6"/>
    <w:uiPriority w:val="30"/>
    <w:qFormat/>
    <w:rPr>
      <w:i/>
    </w:rPr>
  </w:style>
  <w:style w:type="character" w:customStyle="1" w:styleId="ac">
    <w:name w:val="Верхний колонтитул Знак"/>
    <w:basedOn w:val="a0"/>
    <w:link w:val="ab"/>
    <w:uiPriority w:val="99"/>
    <w:qFormat/>
  </w:style>
  <w:style w:type="character" w:customStyle="1" w:styleId="FooterChar">
    <w:name w:val="Footer Char"/>
    <w:basedOn w:val="a0"/>
    <w:uiPriority w:val="99"/>
    <w:qFormat/>
  </w:style>
  <w:style w:type="character" w:customStyle="1" w:styleId="CaptionChar">
    <w:name w:val="Caption Char"/>
    <w:uiPriority w:val="99"/>
    <w:qFormat/>
  </w:style>
  <w:style w:type="table" w:customStyle="1" w:styleId="TableGridLight">
    <w:name w:val="Table Grid Light"/>
    <w:basedOn w:val="a1"/>
    <w:uiPriority w:val="59"/>
    <w:qFormat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0">
    <w:name w:val="Таблица простая 11"/>
    <w:basedOn w:val="a1"/>
    <w:uiPriority w:val="59"/>
    <w:qFormat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qFormat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0">
    <w:name w:val="Таблица простая 31"/>
    <w:basedOn w:val="a1"/>
    <w:uiPriority w:val="99"/>
    <w:qFormat/>
    <w:tblPr/>
    <w:tblStylePr w:type="firstRow">
      <w:rPr>
        <w:b/>
        <w:caps/>
        <w:color w:val="404040"/>
      </w:rPr>
      <w:tblPr/>
      <w:tcPr>
        <w:tcBorders>
          <w:top w:val="nil"/>
          <w:left w:val="nil"/>
          <w:bottom w:val="single" w:sz="4" w:space="0" w:color="40404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il"/>
          <w:left w:val="nil"/>
          <w:bottom w:val="nil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0">
    <w:name w:val="Таблица простая 41"/>
    <w:basedOn w:val="a1"/>
    <w:uiPriority w:val="99"/>
    <w:qFormat/>
    <w:tblPr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0">
    <w:name w:val="Таблица простая 51"/>
    <w:basedOn w:val="a1"/>
    <w:uiPriority w:val="99"/>
    <w:tblPr/>
    <w:tblStylePr w:type="firstRow">
      <w:rPr>
        <w:i/>
        <w:color w:val="404040"/>
      </w:rPr>
      <w:tblPr/>
      <w:tcPr>
        <w:tcBorders>
          <w:left w:val="nil"/>
          <w:bottom w:val="single" w:sz="4" w:space="0" w:color="40404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qFormat/>
    <w:tblPr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qFormat/>
    <w:tblPr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qFormat/>
    <w:tblPr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qFormat/>
    <w:tblPr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qFormat/>
    <w:tblPr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qFormat/>
    <w:tblPr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qFormat/>
    <w:tblPr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qFormat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6A6A6A" w:themeColor="text1" w:themeTint="95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qFormat/>
    <w:tblPr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68A2D8" w:themeColor="accent1" w:themeTint="EA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qFormat/>
    <w:tblPr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F4B184" w:themeColor="accent2" w:themeTint="97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qFormat/>
    <w:tblPr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A5A5A5" w:themeColor="accent3" w:themeTint="FE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qFormat/>
    <w:tblPr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FFD865" w:themeColor="accent4" w:themeTint="9A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qFormat/>
    <w:tblPr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4472C4" w:themeColor="accent5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qFormat/>
    <w:tblPr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70AD47" w:themeColor="accent6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qFormat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qFormat/>
    <w:tblPr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qFormat/>
    <w:tblPr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qFormat/>
    <w:tblPr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qFormat/>
    <w:tblPr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qFormat/>
    <w:tblPr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qFormat/>
    <w:tblPr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qFormat/>
    <w:tblPr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qFormat/>
    <w:tblPr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qFormat/>
    <w:tblPr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qFormat/>
    <w:tblPr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qFormat/>
    <w:tblPr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qFormat/>
    <w:tblPr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/>
      </w:rPr>
    </w:tblStylePr>
    <w:tblStylePr w:type="firstCol">
      <w:rPr>
        <w:b/>
        <w:color w:val="7F7F7F" w:themeColor="text1" w:themeTint="80"/>
      </w:rPr>
    </w:tblStylePr>
    <w:tblStylePr w:type="lastCol">
      <w:rPr>
        <w:b/>
        <w:color w:val="7F7F7F" w:themeColor="text1" w:themeTint="80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qFormat/>
    <w:tblPr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/>
      </w:rPr>
    </w:tblStylePr>
    <w:tblStylePr w:type="firstCol">
      <w:rPr>
        <w:b/>
        <w:color w:val="ACCCEA" w:themeColor="accent1" w:themeTint="80"/>
      </w:rPr>
    </w:tblStylePr>
    <w:tblStylePr w:type="lastCol">
      <w:rPr>
        <w:b/>
        <w:color w:val="ACCCEA" w:themeColor="accent1" w:themeTint="80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qFormat/>
    <w:tblPr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285" w:themeColor="accent2" w:themeTint="96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285" w:themeColor="accent2" w:themeTint="96"/>
      </w:rPr>
    </w:tblStylePr>
    <w:tblStylePr w:type="firstCol">
      <w:rPr>
        <w:b/>
        <w:color w:val="F4B285" w:themeColor="accent2" w:themeTint="96"/>
      </w:rPr>
    </w:tblStylePr>
    <w:tblStylePr w:type="lastCol">
      <w:rPr>
        <w:b/>
        <w:color w:val="F4B285" w:themeColor="accent2" w:themeTint="96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qFormat/>
    <w:tblPr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/>
      </w:rPr>
    </w:tblStylePr>
    <w:tblStylePr w:type="firstCol">
      <w:rPr>
        <w:b/>
        <w:color w:val="A5A5A5" w:themeColor="accent3"/>
      </w:rPr>
    </w:tblStylePr>
    <w:tblStylePr w:type="lastCol">
      <w:rPr>
        <w:b/>
        <w:color w:val="A5A5A5" w:themeColor="accent3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qFormat/>
    <w:tblPr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966" w:themeColor="accent4" w:themeTint="99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966" w:themeColor="accent4" w:themeTint="99"/>
      </w:rPr>
    </w:tblStylePr>
    <w:tblStylePr w:type="firstCol">
      <w:rPr>
        <w:b/>
        <w:color w:val="FFD966" w:themeColor="accent4" w:themeTint="99"/>
      </w:rPr>
    </w:tblStylePr>
    <w:tblStylePr w:type="lastCol">
      <w:rPr>
        <w:b/>
        <w:color w:val="FFD966" w:themeColor="accent4" w:themeTint="99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qFormat/>
    <w:tblPr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44174" w:themeColor="accent5" w:themeShade="94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44174" w:themeColor="accent5" w:themeShade="94"/>
      </w:rPr>
    </w:tblStylePr>
    <w:tblStylePr w:type="firstCol">
      <w:rPr>
        <w:b/>
        <w:color w:val="244174" w:themeColor="accent5" w:themeShade="94"/>
      </w:rPr>
    </w:tblStylePr>
    <w:tblStylePr w:type="lastCol">
      <w:rPr>
        <w:b/>
        <w:color w:val="244174" w:themeColor="accent5" w:themeShade="94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44174" w:themeColor="accent5" w:themeShade="94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44174" w:themeColor="accent5" w:themeShade="94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4174" w:themeColor="accent5" w:themeShade="94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4174" w:themeColor="accent5" w:themeShade="94"/>
      </w:rPr>
    </w:tblStylePr>
    <w:tblStylePr w:type="firstCol">
      <w:rPr>
        <w:b/>
        <w:color w:val="244174" w:themeColor="accent5" w:themeShade="94"/>
      </w:rPr>
    </w:tblStylePr>
    <w:tblStylePr w:type="lastCol">
      <w:rPr>
        <w:b/>
        <w:color w:val="244174" w:themeColor="accent5" w:themeShade="94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4174" w:themeColor="accent5" w:themeShade="94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4174" w:themeColor="accent5" w:themeShade="94"/>
        <w:sz w:val="22"/>
      </w:rPr>
    </w:tblStylePr>
  </w:style>
  <w:style w:type="table" w:customStyle="1" w:styleId="-71">
    <w:name w:val="Таблица-сетка 7 цветная1"/>
    <w:basedOn w:val="a1"/>
    <w:uiPriority w:val="99"/>
    <w:qFormat/>
    <w:tblPr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nil"/>
          <w:left w:val="nil"/>
          <w:bottom w:val="single" w:sz="4" w:space="0" w:color="7F7F7F" w:themeColor="tex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single" w:sz="4" w:space="0" w:color="7F7F7F" w:themeColor="tex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qFormat/>
    <w:tblPr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/>
        <w:sz w:val="22"/>
      </w:rPr>
      <w:tblPr/>
      <w:tcPr>
        <w:tcBorders>
          <w:top w:val="nil"/>
          <w:left w:val="nil"/>
          <w:bottom w:val="single" w:sz="4" w:space="0" w:color="ACCCEA" w:themeColor="accen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/>
        <w:sz w:val="22"/>
      </w:rPr>
      <w:tblPr/>
      <w:tcPr>
        <w:tcBorders>
          <w:top w:val="single" w:sz="4" w:space="0" w:color="ACCCEA" w:themeColor="accen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/>
        <w:sz w:val="22"/>
      </w:rPr>
      <w:tblPr/>
      <w:tcPr>
        <w:tcBorders>
          <w:top w:val="nil"/>
          <w:left w:val="single" w:sz="4" w:space="0" w:color="ACCCEA" w:themeColor="accen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qFormat/>
    <w:tblPr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285" w:themeColor="accent2" w:themeTint="96"/>
        <w:sz w:val="22"/>
      </w:rPr>
      <w:tblPr/>
      <w:tcPr>
        <w:tcBorders>
          <w:top w:val="nil"/>
          <w:left w:val="nil"/>
          <w:bottom w:val="single" w:sz="4" w:space="0" w:color="F4B184" w:themeColor="accent2" w:themeTint="97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285" w:themeColor="accent2" w:themeTint="96"/>
        <w:sz w:val="22"/>
      </w:rPr>
      <w:tblPr/>
      <w:tcPr>
        <w:tcBorders>
          <w:top w:val="single" w:sz="4" w:space="0" w:color="F4B184" w:themeColor="accent2" w:themeTint="97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nil"/>
          <w:bottom w:val="nil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single" w:sz="4" w:space="0" w:color="F4B184" w:themeColor="accent2" w:themeTint="97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qFormat/>
    <w:tblPr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/>
        <w:sz w:val="22"/>
      </w:rPr>
      <w:tblPr/>
      <w:tcPr>
        <w:tcBorders>
          <w:top w:val="nil"/>
          <w:left w:val="nil"/>
          <w:bottom w:val="single" w:sz="4" w:space="0" w:color="A5A5A5" w:themeColor="accent3" w:themeTint="FE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/>
        <w:sz w:val="22"/>
      </w:rPr>
      <w:tblPr/>
      <w:tcPr>
        <w:tcBorders>
          <w:top w:val="single" w:sz="4" w:space="0" w:color="A5A5A5" w:themeColor="accent3" w:themeTint="FE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/>
        <w:sz w:val="22"/>
      </w:rPr>
      <w:tblPr/>
      <w:tcPr>
        <w:tcBorders>
          <w:top w:val="nil"/>
          <w:left w:val="nil"/>
          <w:bottom w:val="nil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/>
        <w:sz w:val="22"/>
      </w:rPr>
      <w:tblPr/>
      <w:tcPr>
        <w:tcBorders>
          <w:top w:val="nil"/>
          <w:left w:val="single" w:sz="4" w:space="0" w:color="A5A5A5" w:themeColor="accent3" w:themeTint="FE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qFormat/>
    <w:tblPr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966" w:themeColor="accent4" w:themeTint="99"/>
        <w:sz w:val="22"/>
      </w:rPr>
      <w:tblPr/>
      <w:tcPr>
        <w:tcBorders>
          <w:top w:val="nil"/>
          <w:left w:val="nil"/>
          <w:bottom w:val="single" w:sz="4" w:space="0" w:color="FFD865" w:themeColor="accent4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966" w:themeColor="accent4" w:themeTint="99"/>
        <w:sz w:val="22"/>
      </w:rPr>
      <w:tblPr/>
      <w:tcPr>
        <w:tcBorders>
          <w:top w:val="single" w:sz="4" w:space="0" w:color="FFD865" w:themeColor="accent4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nil"/>
          <w:bottom w:val="nil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single" w:sz="4" w:space="0" w:color="FFD865" w:themeColor="accent4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qFormat/>
    <w:tblPr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44174" w:themeColor="accent5" w:themeShade="94"/>
        <w:sz w:val="22"/>
      </w:rPr>
      <w:tblPr/>
      <w:tcPr>
        <w:tcBorders>
          <w:top w:val="nil"/>
          <w:left w:val="nil"/>
          <w:bottom w:val="single" w:sz="4" w:space="0" w:color="95AFDD" w:themeColor="accent5" w:themeTint="9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4174" w:themeColor="accent5" w:themeShade="94"/>
        <w:sz w:val="22"/>
      </w:rPr>
      <w:tblPr/>
      <w:tcPr>
        <w:tcBorders>
          <w:top w:val="single" w:sz="4" w:space="0" w:color="95AFDD" w:themeColor="accent5" w:themeTint="9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4174" w:themeColor="accent5" w:themeShade="94"/>
        <w:sz w:val="22"/>
      </w:rPr>
      <w:tblPr/>
      <w:tcPr>
        <w:tcBorders>
          <w:top w:val="nil"/>
          <w:left w:val="nil"/>
          <w:bottom w:val="nil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4174" w:themeColor="accent5" w:themeShade="94"/>
        <w:sz w:val="22"/>
      </w:rPr>
      <w:tblPr/>
      <w:tcPr>
        <w:tcBorders>
          <w:top w:val="nil"/>
          <w:left w:val="single" w:sz="4" w:space="0" w:color="95AFDD" w:themeColor="accent5" w:themeTint="9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44174" w:themeColor="accent5" w:themeShade="94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44174" w:themeColor="accent5" w:themeShade="94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qFormat/>
    <w:tblPr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06429" w:themeColor="accent6" w:themeShade="94"/>
        <w:sz w:val="22"/>
      </w:rPr>
      <w:tblPr/>
      <w:tcPr>
        <w:tcBorders>
          <w:top w:val="nil"/>
          <w:left w:val="nil"/>
          <w:bottom w:val="single" w:sz="4" w:space="0" w:color="ADD394" w:themeColor="accent6" w:themeTint="9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06429" w:themeColor="accent6" w:themeShade="94"/>
        <w:sz w:val="22"/>
      </w:rPr>
      <w:tblPr/>
      <w:tcPr>
        <w:tcBorders>
          <w:top w:val="single" w:sz="4" w:space="0" w:color="ADD394" w:themeColor="accent6" w:themeTint="9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06429" w:themeColor="accent6" w:themeShade="94"/>
        <w:sz w:val="22"/>
      </w:rPr>
      <w:tblPr/>
      <w:tcPr>
        <w:tcBorders>
          <w:top w:val="nil"/>
          <w:left w:val="nil"/>
          <w:bottom w:val="nil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06429" w:themeColor="accent6" w:themeShade="94"/>
        <w:sz w:val="22"/>
      </w:rPr>
      <w:tblPr/>
      <w:tcPr>
        <w:tcBorders>
          <w:top w:val="nil"/>
          <w:left w:val="single" w:sz="4" w:space="0" w:color="ADD394" w:themeColor="accent6" w:themeTint="9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6429" w:themeColor="accent6" w:themeShade="94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06429" w:themeColor="accent6" w:themeShade="94"/>
        <w:sz w:val="22"/>
      </w:rPr>
    </w:tblStylePr>
  </w:style>
  <w:style w:type="table" w:customStyle="1" w:styleId="-110">
    <w:name w:val="Список-таблица 1 светлая1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000000" w:themeColor="text1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5B9BD5" w:themeColor="accent1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ED7D31" w:themeColor="accent2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A5A5A5" w:themeColor="accent3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FFC000" w:themeColor="accent4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4472C4" w:themeColor="accent5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70AD47" w:themeColor="accent6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qFormat/>
    <w:tblPr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il"/>
          <w:bottom w:val="single" w:sz="4" w:space="0" w:color="6F6F6F" w:themeColor="text1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il"/>
          <w:bottom w:val="single" w:sz="4" w:space="0" w:color="6F6F6F" w:themeColor="text1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qFormat/>
    <w:tblPr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il"/>
          <w:bottom w:val="single" w:sz="4" w:space="0" w:color="A2C6E7" w:themeColor="accent1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il"/>
          <w:bottom w:val="single" w:sz="4" w:space="0" w:color="A2C6E7" w:themeColor="accent1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qFormat/>
    <w:tblPr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il"/>
          <w:bottom w:val="single" w:sz="4" w:space="0" w:color="F4B58A" w:themeColor="accent2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il"/>
          <w:bottom w:val="single" w:sz="4" w:space="0" w:color="F4B58A" w:themeColor="accent2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qFormat/>
    <w:tblPr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il"/>
          <w:bottom w:val="single" w:sz="4" w:space="0" w:color="CCCCCC" w:themeColor="accent3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il"/>
          <w:bottom w:val="single" w:sz="4" w:space="0" w:color="CCCCCC" w:themeColor="accent3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qFormat/>
    <w:tblPr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il"/>
          <w:bottom w:val="single" w:sz="4" w:space="0" w:color="FFDB6F" w:themeColor="accent4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il"/>
          <w:bottom w:val="single" w:sz="4" w:space="0" w:color="FFDB6F" w:themeColor="accent4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qFormat/>
    <w:tblPr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il"/>
          <w:bottom w:val="single" w:sz="4" w:space="0" w:color="95AFDD" w:themeColor="accent5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il"/>
          <w:bottom w:val="single" w:sz="4" w:space="0" w:color="95AFDD" w:themeColor="accent5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qFormat/>
    <w:tblPr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il"/>
          <w:bottom w:val="single" w:sz="4" w:space="0" w:color="ADD394" w:themeColor="accent6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il"/>
          <w:bottom w:val="single" w:sz="4" w:space="0" w:color="ADD394" w:themeColor="accent6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qFormat/>
    <w:tblPr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qFormat/>
    <w:tblPr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qFormat/>
    <w:tblPr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qFormat/>
    <w:tblPr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qFormat/>
    <w:tblPr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qFormat/>
    <w:tblPr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qFormat/>
    <w:tblPr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qFormat/>
    <w:tblPr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qFormat/>
    <w:tblPr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qFormat/>
    <w:tblPr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qFormat/>
    <w:tblPr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qFormat/>
    <w:tblPr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qFormat/>
    <w:tblPr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qFormat/>
    <w:tblPr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qFormat/>
    <w:tblPr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qFormat/>
    <w:tblPr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qFormat/>
    <w:tblPr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C" w:themeColor="accent1" w:themeShade="94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C" w:themeColor="accent1" w:themeShade="94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C" w:themeColor="accent1" w:themeShade="94"/>
      </w:rPr>
    </w:tblStylePr>
    <w:tblStylePr w:type="lastCol">
      <w:rPr>
        <w:b/>
        <w:color w:val="245A8C" w:themeColor="accent1" w:themeShade="94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C" w:themeColor="accent1" w:themeShade="94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C" w:themeColor="accent1" w:themeShade="94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qFormat/>
    <w:tblPr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285" w:themeColor="accent2" w:themeTint="96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285" w:themeColor="accent2" w:themeTint="96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285" w:themeColor="accent2" w:themeTint="96"/>
      </w:rPr>
    </w:tblStylePr>
    <w:tblStylePr w:type="lastCol">
      <w:rPr>
        <w:b/>
        <w:color w:val="F4B285" w:themeColor="accent2" w:themeTint="96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qFormat/>
    <w:tblPr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9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9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9"/>
      </w:rPr>
    </w:tblStylePr>
    <w:tblStylePr w:type="lastCol">
      <w:rPr>
        <w:b/>
        <w:color w:val="C9C9C9" w:themeColor="accent3" w:themeTint="99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qFormat/>
    <w:tblPr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966" w:themeColor="accent4" w:themeTint="99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966" w:themeColor="accent4" w:themeTint="99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966" w:themeColor="accent4" w:themeTint="99"/>
      </w:rPr>
    </w:tblStylePr>
    <w:tblStylePr w:type="lastCol">
      <w:rPr>
        <w:b/>
        <w:color w:val="FFD966" w:themeColor="accent4" w:themeTint="99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qFormat/>
    <w:tblPr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EAADB" w:themeColor="accent5" w:themeTint="99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EAADB" w:themeColor="accent5" w:themeTint="99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EAADB" w:themeColor="accent5" w:themeTint="99"/>
      </w:rPr>
    </w:tblStylePr>
    <w:tblStylePr w:type="lastCol">
      <w:rPr>
        <w:b/>
        <w:color w:val="8EAADB" w:themeColor="accent5" w:themeTint="99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EAADB" w:themeColor="accent5" w:themeTint="99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EAADB" w:themeColor="accent5" w:themeTint="99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qFormat/>
    <w:tblPr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8D08D" w:themeColor="accent6" w:themeTint="99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8D08D" w:themeColor="accent6" w:themeTint="99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8D08D" w:themeColor="accent6" w:themeTint="99"/>
      </w:rPr>
    </w:tblStylePr>
    <w:tblStylePr w:type="lastCol">
      <w:rPr>
        <w:b/>
        <w:color w:val="A8D08D" w:themeColor="accent6" w:themeTint="99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8D08D" w:themeColor="accent6" w:themeTint="99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8D08D" w:themeColor="accent6" w:themeTint="99"/>
        <w:sz w:val="22"/>
      </w:rPr>
    </w:tblStylePr>
  </w:style>
  <w:style w:type="table" w:customStyle="1" w:styleId="-710">
    <w:name w:val="Список-таблица 7 цветная1"/>
    <w:basedOn w:val="a1"/>
    <w:uiPriority w:val="99"/>
    <w:qFormat/>
    <w:tblPr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single" w:sz="4" w:space="0" w:color="7F7F7F" w:themeColor="tex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single" w:sz="4" w:space="0" w:color="7F7F7F" w:themeColor="tex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qFormat/>
    <w:tblPr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C" w:themeColor="accent1" w:themeShade="94"/>
        <w:sz w:val="22"/>
      </w:rPr>
      <w:tblPr/>
      <w:tcPr>
        <w:tcBorders>
          <w:top w:val="nil"/>
          <w:left w:val="nil"/>
          <w:bottom w:val="single" w:sz="4" w:space="0" w:color="5B9BD5" w:themeColor="accent1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C" w:themeColor="accent1" w:themeShade="94"/>
        <w:sz w:val="22"/>
      </w:rPr>
      <w:tblPr/>
      <w:tcPr>
        <w:tcBorders>
          <w:top w:val="single" w:sz="4" w:space="0" w:color="5B9BD5" w:themeColor="accent1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C" w:themeColor="accent1" w:themeShade="94"/>
        <w:sz w:val="22"/>
      </w:rPr>
      <w:tblPr/>
      <w:tcPr>
        <w:tcBorders>
          <w:top w:val="nil"/>
          <w:left w:val="nil"/>
          <w:bottom w:val="nil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C" w:themeColor="accent1" w:themeShade="94"/>
        <w:sz w:val="22"/>
      </w:rPr>
      <w:tblPr/>
      <w:tcPr>
        <w:tcBorders>
          <w:top w:val="nil"/>
          <w:left w:val="single" w:sz="4" w:space="0" w:color="5B9BD5" w:themeColor="accent1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C" w:themeColor="accent1" w:themeShade="94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C" w:themeColor="accent1" w:themeShade="94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qFormat/>
    <w:tblPr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nil"/>
          <w:bottom w:val="single" w:sz="4" w:space="0" w:color="F4B184" w:themeColor="accent2" w:themeTint="97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285" w:themeColor="accent2" w:themeTint="96"/>
        <w:sz w:val="22"/>
      </w:rPr>
      <w:tblPr/>
      <w:tcPr>
        <w:tcBorders>
          <w:top w:val="single" w:sz="4" w:space="0" w:color="F4B184" w:themeColor="accent2" w:themeTint="97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nil"/>
          <w:bottom w:val="nil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single" w:sz="4" w:space="0" w:color="F4B184" w:themeColor="accent2" w:themeTint="97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qFormat/>
    <w:tblPr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9"/>
        <w:sz w:val="22"/>
      </w:rPr>
      <w:tblPr/>
      <w:tcPr>
        <w:tcBorders>
          <w:top w:val="nil"/>
          <w:left w:val="nil"/>
          <w:bottom w:val="single" w:sz="4" w:space="0" w:color="C9C9C9" w:themeColor="accent3" w:themeTint="98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9"/>
        <w:sz w:val="22"/>
      </w:rPr>
      <w:tblPr/>
      <w:tcPr>
        <w:tcBorders>
          <w:top w:val="single" w:sz="4" w:space="0" w:color="C9C9C9" w:themeColor="accent3" w:themeTint="98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9"/>
        <w:sz w:val="22"/>
      </w:rPr>
      <w:tblPr/>
      <w:tcPr>
        <w:tcBorders>
          <w:top w:val="nil"/>
          <w:left w:val="nil"/>
          <w:bottom w:val="nil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9"/>
        <w:sz w:val="22"/>
      </w:rPr>
      <w:tblPr/>
      <w:tcPr>
        <w:tcBorders>
          <w:top w:val="nil"/>
          <w:left w:val="single" w:sz="4" w:space="0" w:color="C9C9C9" w:themeColor="accent3" w:themeTint="98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qFormat/>
    <w:tblPr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nil"/>
          <w:bottom w:val="single" w:sz="4" w:space="0" w:color="FFD865" w:themeColor="accent4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966" w:themeColor="accent4" w:themeTint="99"/>
        <w:sz w:val="22"/>
      </w:rPr>
      <w:tblPr/>
      <w:tcPr>
        <w:tcBorders>
          <w:top w:val="single" w:sz="4" w:space="0" w:color="FFD865" w:themeColor="accent4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nil"/>
          <w:bottom w:val="nil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single" w:sz="4" w:space="0" w:color="FFD865" w:themeColor="accent4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qFormat/>
    <w:tblPr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EAADB" w:themeColor="accent5" w:themeTint="99"/>
        <w:sz w:val="22"/>
      </w:rPr>
      <w:tblPr/>
      <w:tcPr>
        <w:tcBorders>
          <w:top w:val="nil"/>
          <w:left w:val="nil"/>
          <w:bottom w:val="single" w:sz="4" w:space="0" w:color="8DA9DB" w:themeColor="accent5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EAADB" w:themeColor="accent5" w:themeTint="99"/>
        <w:sz w:val="22"/>
      </w:rPr>
      <w:tblPr/>
      <w:tcPr>
        <w:tcBorders>
          <w:top w:val="single" w:sz="4" w:space="0" w:color="8DA9DB" w:themeColor="accent5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EAADB" w:themeColor="accent5" w:themeTint="99"/>
        <w:sz w:val="22"/>
      </w:rPr>
      <w:tblPr/>
      <w:tcPr>
        <w:tcBorders>
          <w:top w:val="nil"/>
          <w:left w:val="nil"/>
          <w:bottom w:val="nil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EAADB" w:themeColor="accent5" w:themeTint="99"/>
        <w:sz w:val="22"/>
      </w:rPr>
      <w:tblPr/>
      <w:tcPr>
        <w:tcBorders>
          <w:top w:val="nil"/>
          <w:left w:val="single" w:sz="4" w:space="0" w:color="8DA9DB" w:themeColor="accent5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EAADB" w:themeColor="accent5" w:themeTint="99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EAADB" w:themeColor="accent5" w:themeTint="99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qFormat/>
    <w:tblPr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8D08D" w:themeColor="accent6" w:themeTint="99"/>
        <w:sz w:val="22"/>
      </w:rPr>
      <w:tblPr/>
      <w:tcPr>
        <w:tcBorders>
          <w:top w:val="nil"/>
          <w:left w:val="nil"/>
          <w:bottom w:val="single" w:sz="4" w:space="0" w:color="A9D08E" w:themeColor="accent6" w:themeTint="98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8D08D" w:themeColor="accent6" w:themeTint="99"/>
        <w:sz w:val="22"/>
      </w:rPr>
      <w:tblPr/>
      <w:tcPr>
        <w:tcBorders>
          <w:top w:val="single" w:sz="4" w:space="0" w:color="A9D08E" w:themeColor="accent6" w:themeTint="98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8D08D" w:themeColor="accent6" w:themeTint="99"/>
        <w:sz w:val="22"/>
      </w:rPr>
      <w:tblPr/>
      <w:tcPr>
        <w:tcBorders>
          <w:top w:val="nil"/>
          <w:left w:val="nil"/>
          <w:bottom w:val="nil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8D08D" w:themeColor="accent6" w:themeTint="99"/>
        <w:sz w:val="22"/>
      </w:rPr>
      <w:tblPr/>
      <w:tcPr>
        <w:tcBorders>
          <w:top w:val="nil"/>
          <w:left w:val="single" w:sz="4" w:space="0" w:color="A9D08E" w:themeColor="accent6" w:themeTint="98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8D08D" w:themeColor="accent6" w:themeTint="99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8D08D" w:themeColor="accent6" w:themeTint="99"/>
        <w:sz w:val="22"/>
      </w:rPr>
    </w:tblStylePr>
  </w:style>
  <w:style w:type="table" w:customStyle="1" w:styleId="Lined-Accent">
    <w:name w:val="Lined - Accent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qFormat/>
    <w:rPr>
      <w:color w:val="404040"/>
    </w:rPr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qFormat/>
    <w:rPr>
      <w:color w:val="404040"/>
    </w:rPr>
    <w:tblPr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qFormat/>
    <w:rPr>
      <w:color w:val="404040"/>
    </w:rPr>
    <w:tblPr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qFormat/>
    <w:rPr>
      <w:color w:val="404040"/>
    </w:rPr>
    <w:tblPr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qFormat/>
    <w:rPr>
      <w:color w:val="404040"/>
    </w:rPr>
    <w:tblPr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qFormat/>
    <w:rPr>
      <w:color w:val="404040"/>
    </w:rPr>
    <w:tblPr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qFormat/>
    <w:rPr>
      <w:color w:val="404040"/>
    </w:rPr>
    <w:tblPr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qFormat/>
    <w:tblPr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qFormat/>
    <w:tblPr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qFormat/>
    <w:tblPr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aa">
    <w:name w:val="Текст сноски Знак"/>
    <w:link w:val="a9"/>
    <w:uiPriority w:val="99"/>
    <w:qFormat/>
    <w:rPr>
      <w:sz w:val="18"/>
    </w:rPr>
  </w:style>
  <w:style w:type="character" w:customStyle="1" w:styleId="a7">
    <w:name w:val="Текст концевой сноски Знак"/>
    <w:link w:val="a6"/>
    <w:uiPriority w:val="99"/>
    <w:qFormat/>
    <w:rPr>
      <w:sz w:val="20"/>
    </w:rPr>
  </w:style>
  <w:style w:type="paragraph" w:customStyle="1" w:styleId="12">
    <w:name w:val="Заголовок оглавления1"/>
    <w:uiPriority w:val="39"/>
    <w:unhideWhenUsed/>
    <w:pPr>
      <w:spacing w:after="160" w:line="259" w:lineRule="auto"/>
    </w:pPr>
    <w:rPr>
      <w:sz w:val="22"/>
      <w:szCs w:val="22"/>
      <w:lang w:eastAsia="en-US"/>
    </w:rPr>
  </w:style>
  <w:style w:type="paragraph" w:customStyle="1" w:styleId="ConsPlusNormal">
    <w:name w:val="ConsPlusNormal"/>
    <w:pPr>
      <w:widowControl w:val="0"/>
      <w:ind w:firstLine="720"/>
    </w:pPr>
    <w:rPr>
      <w:rFonts w:ascii="Arial" w:eastAsia="Arial" w:hAnsi="Arial" w:cs="Arial"/>
      <w:lang w:eastAsia="ar-SA"/>
    </w:rPr>
  </w:style>
  <w:style w:type="paragraph" w:customStyle="1" w:styleId="ConsPlusTitle">
    <w:name w:val="ConsPlusTitle"/>
    <w:qFormat/>
    <w:pPr>
      <w:widowControl w:val="0"/>
    </w:pPr>
    <w:rPr>
      <w:rFonts w:ascii="Arial" w:eastAsia="Arial" w:hAnsi="Arial" w:cs="Arial"/>
      <w:b/>
      <w:bCs/>
      <w:lang w:eastAsia="ar-SA"/>
    </w:rPr>
  </w:style>
  <w:style w:type="paragraph" w:styleId="af8">
    <w:name w:val="No Spacing"/>
    <w:uiPriority w:val="1"/>
    <w:qFormat/>
    <w:rPr>
      <w:sz w:val="22"/>
      <w:szCs w:val="22"/>
      <w:lang w:eastAsia="en-US"/>
    </w:rPr>
  </w:style>
  <w:style w:type="character" w:customStyle="1" w:styleId="af1">
    <w:name w:val="Нижний колонтитул Знак"/>
    <w:basedOn w:val="a0"/>
    <w:link w:val="af0"/>
    <w:qFormat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qFormat/>
  </w:style>
  <w:style w:type="paragraph" w:styleId="af9">
    <w:name w:val="List Paragraph"/>
    <w:basedOn w:val="a"/>
    <w:uiPriority w:val="34"/>
    <w:qFormat/>
    <w:pPr>
      <w:ind w:left="720"/>
      <w:contextualSpacing/>
    </w:pPr>
  </w:style>
  <w:style w:type="character" w:customStyle="1" w:styleId="32">
    <w:name w:val="Основной текст с отступом 3 Знак"/>
    <w:basedOn w:val="a0"/>
    <w:link w:val="31"/>
    <w:qFormat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Gen0">
    <w:name w:val="StGen0"/>
    <w:basedOn w:val="a"/>
    <w:next w:val="af2"/>
    <w:uiPriority w:val="99"/>
    <w:qFormat/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587</Words>
  <Characters>3348</Characters>
  <Application>Microsoft Office Word</Application>
  <DocSecurity>0</DocSecurity>
  <Lines>27</Lines>
  <Paragraphs>7</Paragraphs>
  <ScaleCrop>false</ScaleCrop>
  <Company/>
  <LinksUpToDate>false</LinksUpToDate>
  <CharactersWithSpaces>3928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Microsoft Office User</cp:lastModifiedBy>
  <cp:revision>2</cp:revision>
  <dcterms:created xsi:type="dcterms:W3CDTF">2025-01-16T08:51:00Z</dcterms:created>
  <dcterms:modified xsi:type="dcterms:W3CDTF">2025-01-16T08:51:00Z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1049-12.2.0.18911</vt:lpwstr>
  </property>
  <property fmtid="{D5CDD505-2E9C-101B-9397-08002B2CF9AE}" pid="3" name="ICV">
    <vt:lpwstr>26FBE826A018402E92DDDDC5ADE5B304_13</vt:lpwstr>
  </property>
</Properties>
</file>