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t>Договор о задатке №____</w:t>
      </w:r>
    </w:p>
    <w:p>
      <w:pPr>
        <w:pStyle w:val="Normal"/>
        <w:spacing w:lineRule="auto" w:line="240" w:before="0" w:after="0"/>
        <w:jc w:val="center"/>
        <w:rPr>
          <w:rFonts w:ascii="Times New Roman" w:hAnsi="Times New Roman" w:eastAsia="Times New Roman"/>
          <w:spacing w:val="30"/>
          <w:sz w:val="24"/>
          <w:szCs w:val="24"/>
          <w:lang w:eastAsia="ru-RU"/>
        </w:rPr>
      </w:pPr>
      <w:r>
        <w:rPr>
          <w:rFonts w:eastAsia="Times New Roman" w:ascii="Times New Roman" w:hAnsi="Times New Roman"/>
          <w:spacing w:val="30"/>
          <w:sz w:val="24"/>
          <w:szCs w:val="24"/>
          <w:lang w:eastAsia="ru-RU"/>
        </w:rPr>
        <w:t>(договор присоединения)</w:t>
      </w:r>
    </w:p>
    <w:p>
      <w:pPr>
        <w:pStyle w:val="Normal"/>
        <w:spacing w:lineRule="auto" w:line="240" w:before="0" w:after="0"/>
        <w:jc w:val="center"/>
        <w:rPr>
          <w:rFonts w:ascii="Times New Roman" w:hAnsi="Times New Roman" w:eastAsia="Times New Roman"/>
          <w:spacing w:val="30"/>
          <w:sz w:val="24"/>
          <w:szCs w:val="24"/>
          <w:lang w:eastAsia="ru-RU"/>
        </w:rPr>
      </w:pPr>
      <w:r>
        <w:rPr>
          <w:rFonts w:eastAsia="Times New Roman" w:ascii="Times New Roman" w:hAnsi="Times New Roman"/>
          <w:spacing w:val="30"/>
          <w:sz w:val="24"/>
          <w:szCs w:val="24"/>
          <w:lang w:eastAsia="ru-RU"/>
        </w:rPr>
      </w:r>
    </w:p>
    <w:p>
      <w:pPr>
        <w:pStyle w:val="Normal"/>
        <w:spacing w:lineRule="auto" w:line="240" w:before="0" w:after="0"/>
        <w:ind w:firstLine="851"/>
        <w:jc w:val="both"/>
        <w:rPr>
          <w:rFonts w:ascii="Times New Roman" w:hAnsi="Times New Roman" w:eastAsia="Times New Roman"/>
          <w:color w:val="000000"/>
          <w:sz w:val="24"/>
          <w:szCs w:val="24"/>
          <w:lang w:eastAsia="ru-RU"/>
        </w:rPr>
      </w:pPr>
      <w:r>
        <w:rPr>
          <w:rFonts w:ascii="Times New Roman" w:hAnsi="Times New Roman"/>
          <w:sz w:val="24"/>
          <w:szCs w:val="24"/>
        </w:rPr>
        <w:t>Финансовый управляющий Пудова Сергея Анатольевича (далее - Должник) (адрес регистрации: г. Москва, ул. Мосфильмовская, д. 11, корп. 2, кв. 37; дата рождения 16.11.1964 г.; место рождения: г. Москва; СНИЛС 017-995-898 24; ИНН 772857198545), Милых Николай Иванович (ИНН 480700336985, СНИЛС 042-320-958-18) - член НП АУ "ОРИОН" (ОГРН 1117800001880, ИНН 7841017510, адрес: 191028, Санкт-Петербург, ул. Гагаринская, д. 25, литер А, пом. 6Н), действующий на основании Решения Арбитражного суда города Москвы от 27.05.2020 по делу А40-29232/2020</w:t>
      </w:r>
      <w:r>
        <w:rPr>
          <w:rFonts w:eastAsia="Times New Roman" w:ascii="Times New Roman" w:hAnsi="Times New Roman"/>
          <w:color w:val="000000"/>
          <w:sz w:val="24"/>
          <w:szCs w:val="24"/>
          <w:lang w:eastAsia="ru-RU"/>
        </w:rPr>
        <w:t>, с одной стороны, и</w:t>
      </w:r>
    </w:p>
    <w:p>
      <w:pPr>
        <w:pStyle w:val="Normal"/>
        <w:spacing w:lineRule="auto" w:line="240" w:before="0" w:after="0"/>
        <w:ind w:firstLine="851"/>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 xml:space="preserve"> </w:t>
      </w:r>
      <w:r>
        <w:rPr>
          <w:rFonts w:eastAsia="Times New Roman" w:ascii="Times New Roman" w:hAnsi="Times New Roman"/>
          <w:color w:val="000000"/>
          <w:sz w:val="24"/>
          <w:szCs w:val="24"/>
          <w:lang w:eastAsia="ru-RU"/>
        </w:rPr>
        <w:t xml:space="preserve">претендент на участие в торгах </w:t>
      </w:r>
    </w:p>
    <w:p>
      <w:pPr>
        <w:pStyle w:val="Normal"/>
        <w:spacing w:lineRule="auto" w:line="240" w:before="0" w:after="0"/>
        <w:ind w:firstLine="851"/>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 присоединившийся к настоящему Договору, именуемый в дальнейшем «Претендент», с другой стороны, в соответствии с требованиями ст.ст.380, 381, 428 ГК РФ, заключили настоящий Договор (далее – Договор) о нижеследующем:</w:t>
      </w:r>
    </w:p>
    <w:p>
      <w:pPr>
        <w:pStyle w:val="Normal"/>
        <w:spacing w:lineRule="auto" w:line="240" w:before="0" w:after="0"/>
        <w:jc w:val="both"/>
        <w:rPr>
          <w:rFonts w:ascii="Times New Roman" w:hAnsi="Times New Roman"/>
          <w:sz w:val="24"/>
          <w:szCs w:val="24"/>
          <w:lang w:eastAsia="ru-RU"/>
        </w:rPr>
      </w:pPr>
      <w:r>
        <w:rPr>
          <w:rFonts w:eastAsia="Times New Roman" w:ascii="Times New Roman" w:hAnsi="Times New Roman"/>
          <w:sz w:val="24"/>
          <w:szCs w:val="24"/>
          <w:lang w:eastAsia="ru-RU"/>
        </w:rPr>
        <w:t xml:space="preserve">1. В соответствии с условиями настоящего Договора Претендент для участия в торгах по продаже (далее – Продажа) </w:t>
      </w:r>
      <w:r>
        <w:rPr>
          <w:rFonts w:ascii="Times New Roman" w:hAnsi="Times New Roman"/>
          <w:sz w:val="24"/>
          <w:szCs w:val="24"/>
          <w:lang w:eastAsia="ru-RU"/>
        </w:rPr>
        <w:t>имущества в рамках процедуры реализации в отношении</w:t>
      </w:r>
      <w:r>
        <w:rPr>
          <w:rFonts w:ascii="Times New Roman" w:hAnsi="Times New Roman"/>
          <w:sz w:val="24"/>
          <w:szCs w:val="24"/>
        </w:rPr>
        <w:t xml:space="preserve"> Пудова Сергея Анатольевича (далее - Должник) (адрес регистрации: г. Москва, ул. Мосфильмовская, д. 11, корп. 2, кв. 37; дата рождения 16.11.1964 г.; место рождения: г. Москва; СНИЛС 017-995-898 24; ИНН 772857198545)</w:t>
      </w:r>
      <w:r>
        <w:rPr>
          <w:rFonts w:ascii="Times New Roman" w:hAnsi="Times New Roman"/>
          <w:sz w:val="24"/>
          <w:szCs w:val="24"/>
          <w:lang w:eastAsia="ru-RU"/>
        </w:rPr>
        <w:t>:</w:t>
      </w:r>
    </w:p>
    <w:p>
      <w:pPr>
        <w:pStyle w:val="Normal"/>
        <w:widowControl w:val="false"/>
        <w:spacing w:lineRule="auto" w:line="240" w:before="0" w:after="0"/>
        <w:ind w:right="60" w:firstLine="708"/>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b/>
          <w:b/>
          <w:sz w:val="24"/>
          <w:szCs w:val="24"/>
        </w:rPr>
      </w:pPr>
      <w:r>
        <w:rPr>
          <w:rFonts w:ascii="Times New Roman" w:hAnsi="Times New Roman"/>
          <w:b/>
          <w:sz w:val="24"/>
          <w:szCs w:val="24"/>
        </w:rPr>
        <w:t xml:space="preserve">Лот 1: </w:t>
      </w:r>
    </w:p>
    <w:p>
      <w:pPr>
        <w:pStyle w:val="Normal"/>
        <w:spacing w:before="0" w:after="0"/>
        <w:jc w:val="both"/>
        <w:rPr>
          <w:rFonts w:ascii="Times New Roman" w:hAnsi="Times New Roman"/>
          <w:sz w:val="24"/>
          <w:szCs w:val="24"/>
        </w:rPr>
      </w:pPr>
      <w:r>
        <w:rPr>
          <w:rFonts w:ascii="Times New Roman" w:hAnsi="Times New Roman"/>
          <w:sz w:val="24"/>
          <w:szCs w:val="24"/>
        </w:rPr>
        <w:t xml:space="preserve">1) Нежилое здание. Наименование: Баня, расположенное по адресу: Московская область, Красногорский район, с.Дмитровское, ул.Центральная, уч. за участком, прилегающим к участку д.35 а, площадью 62 кв. м, кадастровый номер объекта 50:11:0000000:156999. </w:t>
      </w:r>
    </w:p>
    <w:p>
      <w:pPr>
        <w:pStyle w:val="Normal"/>
        <w:spacing w:before="0" w:after="0"/>
        <w:jc w:val="both"/>
        <w:rPr>
          <w:rFonts w:ascii="Times New Roman" w:hAnsi="Times New Roman"/>
          <w:sz w:val="24"/>
          <w:szCs w:val="24"/>
        </w:rPr>
      </w:pPr>
      <w:r>
        <w:rPr>
          <w:rFonts w:ascii="Times New Roman" w:hAnsi="Times New Roman"/>
          <w:sz w:val="24"/>
          <w:szCs w:val="24"/>
        </w:rPr>
        <w:t>2) Сооружение. Наименование: Бассейн, Назначение: Сооружения спортивно-оздоровительные, расположенное по адресу: Московская область, Красногорский муниципальный район, с. Дмитровское, ул. Центральная, участок за участком, прилегающим к участку д. 35а, площадью 714 кв. м, кадастровый номер объекта 50:11:0050107:853.</w:t>
      </w:r>
    </w:p>
    <w:p>
      <w:pPr>
        <w:pStyle w:val="Normal"/>
        <w:spacing w:before="0" w:after="0"/>
        <w:jc w:val="both"/>
        <w:rPr>
          <w:rFonts w:ascii="Times New Roman" w:hAnsi="Times New Roman"/>
          <w:sz w:val="24"/>
          <w:szCs w:val="24"/>
        </w:rPr>
      </w:pPr>
      <w:r>
        <w:rPr>
          <w:rFonts w:ascii="Times New Roman" w:hAnsi="Times New Roman"/>
          <w:sz w:val="24"/>
          <w:szCs w:val="24"/>
        </w:rPr>
        <w:t>3) Сооружение.  Наименование: Теннисный корт, Назначение: Сооружения спортивно-оздоровительные, расположенное по адресу: Московская область, Красногорский муниципальный район, с. Дмитровское, ул. Центральная, участок за участком, прилегающим к участку д. 35а, площадью 702 кв. м, кадастровый номер объекта 50:11:0050107:852.</w:t>
      </w:r>
    </w:p>
    <w:p>
      <w:pPr>
        <w:pStyle w:val="Normal"/>
        <w:spacing w:before="0" w:after="0"/>
        <w:jc w:val="both"/>
        <w:rPr>
          <w:rFonts w:ascii="Times New Roman" w:hAnsi="Times New Roman"/>
          <w:sz w:val="24"/>
          <w:szCs w:val="24"/>
        </w:rPr>
      </w:pPr>
      <w:r>
        <w:rPr>
          <w:rFonts w:ascii="Times New Roman" w:hAnsi="Times New Roman"/>
          <w:sz w:val="24"/>
          <w:szCs w:val="24"/>
        </w:rPr>
        <w:t>4) Право аренды земельного участка общей площадью 1 600 квадратных метров, кадастровый номер 50:11:0050107:25, категория земель — земли населенных пунктов, разрешенное использование – для укрепления оползневого склона, находящегося по адресу: установлено относительно ориентира, расположенного в границах участка. Почтовый адрес ориентира: обл. Московская, р-н Красногорский, с/с Петрово-Дальневская, с. Дмитровское, ул. Центральная, прилегающий к уч. дома 35а.</w:t>
      </w:r>
    </w:p>
    <w:p>
      <w:pPr>
        <w:pStyle w:val="Normal"/>
        <w:jc w:val="both"/>
        <w:rPr>
          <w:rFonts w:ascii="Times New Roman" w:hAnsi="Times New Roman"/>
          <w:sz w:val="24"/>
          <w:szCs w:val="24"/>
        </w:rPr>
      </w:pPr>
      <w:r>
        <w:rPr>
          <w:rFonts w:ascii="Times New Roman" w:hAnsi="Times New Roman"/>
          <w:sz w:val="24"/>
          <w:szCs w:val="24"/>
        </w:rPr>
        <w:t>5) Право аренды земельного участка общей площадью 11 660 +/-75 квадратных метров, кадастровый номер 50:11:0050107:548, категория земель — земли населенных пунктов, разрешенное использование - для размещения объектов оздоровительного и рекреационного назначения, находящегося по адресу: Московская область, Красногорский муниципальный район, с/п Ильинское, с.Дмитровское, ул.Центральная, участок за участком, прилегающим к участку д.35 а.</w:t>
      </w:r>
    </w:p>
    <w:p>
      <w:pPr>
        <w:pStyle w:val="Normal"/>
        <w:jc w:val="both"/>
        <w:rPr>
          <w:rFonts w:ascii="Times New Roman" w:hAnsi="Times New Roman"/>
          <w:sz w:val="24"/>
          <w:szCs w:val="24"/>
        </w:rPr>
      </w:pPr>
      <w:r>
        <w:rPr>
          <w:rFonts w:ascii="Times New Roman" w:hAnsi="Times New Roman"/>
          <w:sz w:val="24"/>
          <w:szCs w:val="24"/>
        </w:rPr>
        <w:t>и / или</w:t>
      </w:r>
    </w:p>
    <w:p>
      <w:pPr>
        <w:pStyle w:val="Normal"/>
        <w:jc w:val="both"/>
        <w:rPr>
          <w:rFonts w:ascii="Times New Roman" w:hAnsi="Times New Roman"/>
          <w:b/>
          <w:b/>
          <w:sz w:val="24"/>
          <w:szCs w:val="24"/>
        </w:rPr>
      </w:pPr>
      <w:r>
        <w:rPr>
          <w:rFonts w:ascii="Times New Roman" w:hAnsi="Times New Roman"/>
          <w:b/>
          <w:sz w:val="24"/>
          <w:szCs w:val="24"/>
        </w:rPr>
        <w:t xml:space="preserve">Лот 2: </w:t>
      </w:r>
    </w:p>
    <w:p>
      <w:pPr>
        <w:pStyle w:val="Normal"/>
        <w:numPr>
          <w:ilvl w:val="0"/>
          <w:numId w:val="0"/>
        </w:numPr>
        <w:spacing w:before="0" w:after="0"/>
        <w:jc w:val="both"/>
        <w:outlineLvl w:val="1"/>
        <w:rPr>
          <w:rFonts w:ascii="Times New Roman" w:hAnsi="Times New Roman"/>
          <w:sz w:val="24"/>
          <w:szCs w:val="24"/>
        </w:rPr>
      </w:pPr>
      <w:r>
        <w:rPr>
          <w:rFonts w:ascii="Times New Roman" w:hAnsi="Times New Roman"/>
          <w:sz w:val="24"/>
          <w:szCs w:val="24"/>
        </w:rPr>
        <w:t>Стол обеденный (дата производства 23.01.2008, дерево, PHMSpolkaZOO), Рабочая кухонная поверхность со встроенной раковиной, варочной поверхностью фирмы MIELE и посудомоечной машиной MIELE, Вытяжка над варочной поверхностью с подсветкой (металл, Snaidero), Шкаф кухонный со встроенным холодильником MIELE, Подставка для TV, Светильник потолочный декоративный (3 шт.) (стекло), Стол бильярдный с зеленым сукном (дерево, OIS (Original Italian Slate)), Шкаф для хранения бильярдных аксессуаров (дерево/ стекло), Стол для бильярдных аксессуаров (дерево), Светильник потолочный для бильярдного стола (5 шт.) (металл), Светильник настенный (8 шт.) (металл), Полка для хранения бильярдных шаров (дерево), Кресло (2 шт.) (дерево/ кожа, Formitalia), Диван (дерево/ кожа, Formitalia), Стол журнальный (дерево/ стекло, Formitalia), Стол журнальный (дерево/ кожа, Formitalia), Люстра (дек. стекло), Светильник настенный (6 шт.) (дек. стекло), Плафон подвесной (12 шт.) (металл), Шкаф для хранения одежды (дерево/ стекло), Комплект мебели из 2-х диванов, 2-х кресел (кожа), Стол журнальный (дерево), Люстра потолочная (дерево/ металл/ стекло, на 26 плафонов, 2-х уровневая), Проектор (JVS, D-ILA ihx3D), Полотно для Проектора, Шкаф приставной книжный (дерево), Комплект гардеробной мебели с шифонером (дерево), Люстра потолочная (3 шт.) (металл/ стекло), Шкаф Гардеробный с открытыми полками (дерево), Люстра с декоративными светильниками (металл/ стекло), Тумба 2-х секционная (дерево), Комплект мебели для ванны, светильник настенный однорожковый (19 шт.) (металл/ стекло), Люстра потолочная (3 шт.) (металл/ стекло), Люстра 5-ти рожковая с декоративным стеклом (металл/ стекло), Светильник настенный однорожковый (5 шт.) (металл/ стекло), Тренажер - держатель для штанг (металл, Hoist fitness), Скамья для жима(металл, Tooffstooff), Тренажер для плеч (металл, Hoist fitness), Гриф для штанги (2 шт.) (металл), Скамья для пресса (металл), Тренажер для плеч(металл, Hoist fitness), Диван  3-х секционный (синт. материал), Люстра потолочная (металл), Светильник настенный (6 шт.), Гардеробный открытый стеллаж, Шифонер  3-х створчатый (дерево), Стол для TV (дерево/ стекло), Шкаф для одежды пристенный, Кухонный гарнитур, Комод (ДСП/шпон), Шкаф пристенный книжный (дсп/ шпон/ стекло), Стол офисный угловой (2 шт.) (ДСП/шпон), Монитор (2 шт.) (Samsung), Стол офисный (ДСП/шпон), Системный блок, Конвектор для обогрева (металл, Ballu), Стол обеденный (дерево), Скамья 3-х местная (дерево), Стойка пристенная (дерево), Сетка игровая теннисная, лампа освещения (18 шт.), Тепловая пушка дизельная (Thermobile ITA 45).</w:t>
      </w:r>
    </w:p>
    <w:p>
      <w:pPr>
        <w:pStyle w:val="Normal"/>
        <w:spacing w:lineRule="auto" w:line="240" w:before="0" w:after="0"/>
        <w:ind w:firstLine="851"/>
        <w:jc w:val="both"/>
        <w:rPr>
          <w:rFonts w:ascii="Times New Roman" w:hAnsi="Times New Roman"/>
          <w:bCs/>
          <w:sz w:val="24"/>
          <w:szCs w:val="24"/>
        </w:rPr>
      </w:pPr>
      <w:r>
        <w:rPr>
          <w:rFonts w:ascii="Times New Roman" w:hAnsi="Times New Roman"/>
          <w:bCs/>
          <w:sz w:val="24"/>
          <w:szCs w:val="24"/>
        </w:rPr>
        <w:t xml:space="preserve">     </w:t>
      </w:r>
    </w:p>
    <w:p>
      <w:pPr>
        <w:pStyle w:val="Normal"/>
        <w:tabs>
          <w:tab w:val="clear" w:pos="708"/>
          <w:tab w:val="left" w:pos="142" w:leader="none"/>
          <w:tab w:val="left" w:pos="8789" w:leader="none"/>
        </w:tabs>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tabs>
          <w:tab w:val="clear" w:pos="708"/>
          <w:tab w:val="left" w:pos="142" w:leader="none"/>
          <w:tab w:val="left" w:pos="8789" w:leader="none"/>
        </w:tabs>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перечисляет  денежные  средства в размере</w:t>
      </w:r>
    </w:p>
    <w:p>
      <w:pPr>
        <w:pStyle w:val="Normal"/>
        <w:tabs>
          <w:tab w:val="clear" w:pos="708"/>
          <w:tab w:val="left" w:pos="142" w:leader="none"/>
          <w:tab w:val="left" w:pos="8789" w:leader="none"/>
        </w:tabs>
        <w:spacing w:lineRule="auto" w:line="240" w:before="0" w:after="0"/>
        <w:jc w:val="both"/>
        <w:rPr>
          <w:rFonts w:ascii="Times New Roman" w:hAnsi="Times New Roman" w:eastAsia="Times New Roman"/>
          <w:i/>
          <w:i/>
          <w:sz w:val="24"/>
          <w:szCs w:val="24"/>
          <w:lang w:eastAsia="ru-RU"/>
        </w:rPr>
      </w:pPr>
      <w:r>
        <w:rPr>
          <w:rFonts w:eastAsia="Times New Roman" w:ascii="Times New Roman" w:hAnsi="Times New Roman"/>
          <w:sz w:val="24"/>
          <w:szCs w:val="24"/>
          <w:lang w:eastAsia="ru-RU"/>
        </w:rPr>
        <w:t>____________________________________________________________________________</w:t>
      </w:r>
    </w:p>
    <w:p>
      <w:pPr>
        <w:pStyle w:val="Normal"/>
        <w:spacing w:lineRule="auto" w:line="240" w:before="0" w:after="0"/>
        <w:ind w:firstLine="851"/>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 xml:space="preserve">(далее – «Задаток») путем перечисления на </w:t>
      </w:r>
      <w:r>
        <w:rPr>
          <w:rFonts w:eastAsia="Times New Roman" w:ascii="Times New Roman" w:hAnsi="Times New Roman"/>
          <w:bCs/>
          <w:color w:val="000000"/>
          <w:sz w:val="24"/>
          <w:szCs w:val="24"/>
          <w:lang w:eastAsia="ru-RU"/>
        </w:rPr>
        <w:t>следующий</w:t>
      </w:r>
      <w:r>
        <w:rPr>
          <w:rFonts w:eastAsia="Times New Roman" w:ascii="Times New Roman" w:hAnsi="Times New Roman"/>
          <w:color w:val="000000"/>
          <w:sz w:val="24"/>
          <w:szCs w:val="24"/>
          <w:lang w:eastAsia="ru-RU"/>
        </w:rPr>
        <w:t xml:space="preserve"> расчетный счет Организатора торгов по реквизитам, указанным на </w:t>
      </w:r>
      <w:r>
        <w:rPr>
          <w:rFonts w:ascii="Times New Roman" w:hAnsi="Times New Roman"/>
          <w:sz w:val="24"/>
          <w:szCs w:val="24"/>
        </w:rPr>
        <w:t>электронной торговой площадке (ТП) Регион (ООО «Глория Сервис», www.gloriaservice.ru)</w:t>
      </w:r>
      <w:r>
        <w:rPr>
          <w:rFonts w:eastAsia="Times New Roman" w:ascii="Times New Roman" w:hAnsi="Times New Roman"/>
          <w:color w:val="000000"/>
          <w:sz w:val="24"/>
          <w:szCs w:val="24"/>
          <w:lang w:eastAsia="ru-RU"/>
        </w:rPr>
        <w:t>:</w:t>
      </w:r>
    </w:p>
    <w:p>
      <w:pPr>
        <w:pStyle w:val="Normal"/>
        <w:spacing w:before="0" w:after="0"/>
        <w:jc w:val="both"/>
        <w:rPr>
          <w:rFonts w:ascii="Times New Roman" w:hAnsi="Times New Roman"/>
          <w:b/>
          <w:b/>
          <w:sz w:val="24"/>
          <w:szCs w:val="24"/>
        </w:rPr>
      </w:pPr>
      <w:r>
        <w:rPr>
          <w:rFonts w:ascii="Times New Roman" w:hAnsi="Times New Roman"/>
          <w:b/>
          <w:sz w:val="24"/>
          <w:szCs w:val="24"/>
        </w:rPr>
      </w:r>
    </w:p>
    <w:p>
      <w:pPr>
        <w:pStyle w:val="Normal"/>
        <w:spacing w:before="0" w:after="0"/>
        <w:jc w:val="both"/>
        <w:rPr>
          <w:rFonts w:ascii="Times New Roman" w:hAnsi="Times New Roman"/>
          <w:b/>
          <w:b/>
          <w:sz w:val="24"/>
          <w:szCs w:val="24"/>
        </w:rPr>
      </w:pPr>
      <w:r>
        <w:rPr>
          <w:rFonts w:ascii="Times New Roman" w:hAnsi="Times New Roman"/>
          <w:b/>
          <w:sz w:val="24"/>
          <w:szCs w:val="24"/>
        </w:rPr>
        <w:t>Получатель - Пудов Сергей Анатольевич, р/с 40817810955170551052, Северо-Западный банк ПАО Сбербанк, к/с 30101810500000000653, БИК 044030653.</w:t>
      </w:r>
    </w:p>
    <w:p>
      <w:pPr>
        <w:pStyle w:val="Normal"/>
        <w:spacing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p>
      <w:pPr>
        <w:pStyle w:val="Normal"/>
        <w:spacing w:lineRule="auto" w:line="240" w:before="0" w:after="0"/>
        <w:ind w:firstLine="851"/>
        <w:jc w:val="both"/>
        <w:rPr>
          <w:rFonts w:ascii="Times New Roman" w:hAnsi="Times New Roman" w:eastAsia="Times New Roman"/>
          <w:color w:val="000000"/>
          <w:sz w:val="24"/>
          <w:szCs w:val="24"/>
          <w:lang w:eastAsia="ru-RU"/>
        </w:rPr>
      </w:pPr>
      <w:r>
        <w:rPr>
          <w:rFonts w:eastAsia="Times New Roman" w:ascii="Times New Roman" w:hAnsi="Times New Roman"/>
          <w:bCs/>
          <w:color w:val="000000"/>
          <w:sz w:val="24"/>
          <w:szCs w:val="24"/>
          <w:lang w:eastAsia="ru-RU"/>
        </w:rPr>
        <w:t>2. Задаток должен поступить на счет Организатора торгов на момент определения участков торгов</w:t>
      </w:r>
      <w:r>
        <w:rPr>
          <w:rFonts w:eastAsia="Times New Roman" w:ascii="Times New Roman" w:hAnsi="Times New Roman"/>
          <w:color w:val="000000"/>
          <w:sz w:val="24"/>
          <w:szCs w:val="24"/>
          <w:lang w:eastAsia="ru-RU"/>
        </w:rPr>
        <w:t xml:space="preserve"> и считается внесенным с даты поступления всей суммы на один из указанных счетов.</w:t>
      </w:r>
    </w:p>
    <w:p>
      <w:pPr>
        <w:pStyle w:val="Normal"/>
        <w:overflowPunct w:val="true"/>
        <w:spacing w:lineRule="auto" w:line="240" w:before="0" w:after="0"/>
        <w:ind w:firstLine="851"/>
        <w:jc w:val="both"/>
        <w:textAlignment w:val="baseline"/>
        <w:rPr>
          <w:rFonts w:ascii="Times New Roman" w:hAnsi="Times New Roman" w:eastAsia="Times New Roman"/>
          <w:sz w:val="24"/>
          <w:szCs w:val="24"/>
          <w:lang w:eastAsia="ru-RU"/>
        </w:rPr>
      </w:pPr>
      <w:r>
        <w:rPr>
          <w:rFonts w:eastAsia="Times New Roman" w:ascii="Times New Roman" w:hAnsi="Times New Roman"/>
          <w:sz w:val="24"/>
          <w:szCs w:val="24"/>
          <w:lang w:eastAsia="ru-RU"/>
        </w:rPr>
        <w:t>В случае, когда сумма Задатка от Претендента не зачислена на расчетный счет Организатора торгов на момент подачи заявки, Претендент не допускается к участию в торгах посредством публичного предложения. Представление Претендентом платежных документов с отметкой об исполнении при этом во внимание Организатором торгов не принимается.</w:t>
      </w:r>
    </w:p>
    <w:p>
      <w:pPr>
        <w:pStyle w:val="Normal"/>
        <w:spacing w:lineRule="auto" w:line="240" w:before="0" w:after="0"/>
        <w:ind w:firstLine="851"/>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3. Договор о задатке может быть подписан Претендентом электронной подписью Претендента либо  Претендент вправе направить задаток на счета, указанные в п. 1 настоящего Договора без подписания настоящего Договора электронной подписью Претендента (в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w:t>
      </w:r>
    </w:p>
    <w:p>
      <w:pPr>
        <w:pStyle w:val="Normal"/>
        <w:spacing w:lineRule="auto" w:line="240" w:before="0" w:after="0"/>
        <w:ind w:firstLine="851"/>
        <w:jc w:val="both"/>
        <w:rPr>
          <w:rFonts w:ascii="Times New Roman" w:hAnsi="Times New Roman" w:eastAsia="Times New Roman"/>
          <w:sz w:val="16"/>
          <w:szCs w:val="16"/>
          <w:lang w:eastAsia="ru-RU"/>
        </w:rPr>
      </w:pPr>
      <w:r>
        <w:rPr>
          <w:rFonts w:eastAsia="Times New Roman" w:ascii="Times New Roman" w:hAnsi="Times New Roman"/>
          <w:sz w:val="24"/>
          <w:szCs w:val="24"/>
          <w:lang w:eastAsia="ru-RU"/>
        </w:rPr>
        <w:t xml:space="preserve">Задаток служит обеспечением исполнения обязательств Победителя торгов по заключению договора купли-продажи по итогам торгов, оплате цены продажи Объекта, определенной по итогам торгов. </w:t>
      </w:r>
      <w:r>
        <w:rPr>
          <w:rFonts w:eastAsia="Times New Roman" w:ascii="Times New Roman" w:hAnsi="Times New Roman"/>
          <w:sz w:val="16"/>
          <w:szCs w:val="16"/>
          <w:lang w:eastAsia="ru-RU"/>
        </w:rPr>
        <w:t xml:space="preserve"> </w:t>
      </w:r>
    </w:p>
    <w:p>
      <w:pPr>
        <w:pStyle w:val="Normal"/>
        <w:spacing w:lineRule="auto" w:line="240" w:before="0" w:after="0"/>
        <w:ind w:firstLine="851"/>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4. В платежном документе в графе «назначение платежа» должна содержаться ссылка на наименование лота, характеристику Объекта.</w:t>
      </w:r>
    </w:p>
    <w:p>
      <w:pPr>
        <w:pStyle w:val="Normal"/>
        <w:spacing w:lineRule="auto" w:line="240" w:before="0" w:after="0"/>
        <w:ind w:firstLine="851"/>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5. На денежные средства, перечисленные в соответствии с настоящим Договором, проценты не начисляются.</w:t>
      </w:r>
    </w:p>
    <w:p>
      <w:pPr>
        <w:pStyle w:val="Normal"/>
        <w:spacing w:lineRule="auto" w:line="240" w:before="0" w:after="0"/>
        <w:ind w:firstLine="851"/>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 Исполнение обязанности по внесению суммы задатка третьими лицами не допускается.</w:t>
      </w:r>
    </w:p>
    <w:p>
      <w:pPr>
        <w:pStyle w:val="Normal"/>
        <w:spacing w:lineRule="auto" w:line="240" w:before="0" w:after="0"/>
        <w:ind w:firstLine="851"/>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7. Сроки возврата суммы задатка, внесенного Претендентом на счет Организатора торгов:</w:t>
      </w:r>
    </w:p>
    <w:p>
      <w:pPr>
        <w:pStyle w:val="Normal"/>
        <w:numPr>
          <w:ilvl w:val="0"/>
          <w:numId w:val="0"/>
        </w:numPr>
        <w:spacing w:lineRule="auto" w:line="240" w:before="0" w:after="0"/>
        <w:ind w:firstLine="851"/>
        <w:jc w:val="both"/>
        <w:outlineLvl w:val="1"/>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7.1. В случае отмены торгов Организатор торгов обязуется возвратить сумму внесенного Претендентом Задатка в течение 5 (пяти) рабочих дней со дня подписания генеральным директором Организатора торгов приказа об отмене торгов посредством публичного предложения.</w:t>
      </w:r>
    </w:p>
    <w:p>
      <w:pPr>
        <w:pStyle w:val="Normal"/>
        <w:spacing w:lineRule="auto" w:line="240" w:before="0" w:after="0"/>
        <w:ind w:firstLine="851"/>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7.2. Внесенный Задаток не возвращается в случае, если Претендент, признанный победителем торгов, уклонится/откажется от подписания договора купли-продажи, от внесения в установленный срок цены продажи Объекта, определенной по итогам торгов (за вычетом ранее внесенного Задатка). </w:t>
      </w:r>
    </w:p>
    <w:p>
      <w:pPr>
        <w:pStyle w:val="Normal"/>
        <w:spacing w:lineRule="auto" w:line="240" w:before="0" w:after="0"/>
        <w:ind w:firstLine="851"/>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7.3. В случае признания Претендента победителем торгов сумма внесенного Задатка засчитывается в счет  оплаты по договору купли-продажи.</w:t>
      </w:r>
    </w:p>
    <w:p>
      <w:pPr>
        <w:pStyle w:val="Normal"/>
        <w:spacing w:lineRule="auto" w:line="240" w:before="0" w:after="0"/>
        <w:ind w:firstLine="851"/>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8. В случаях возврата Организатором торгов Задатка Претенденту, возврат производится путем безналичного перечисления суммы Задатка со счета Организатора торгов на счет Претендента, указанный в реквизитах настоящего Договора.</w:t>
      </w:r>
    </w:p>
    <w:p>
      <w:pPr>
        <w:pStyle w:val="Normal"/>
        <w:spacing w:lineRule="auto" w:line="240" w:before="0" w:after="0"/>
        <w:ind w:firstLine="851"/>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w:t>
      </w:r>
    </w:p>
    <w:p>
      <w:pPr>
        <w:pStyle w:val="Normal"/>
        <w:spacing w:lineRule="auto" w:line="240" w:before="0" w:after="0"/>
        <w:ind w:firstLine="851"/>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10.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и условиями настоящего Договора.</w:t>
      </w:r>
    </w:p>
    <w:p>
      <w:pPr>
        <w:pStyle w:val="Normal"/>
        <w:spacing w:lineRule="auto" w:line="240" w:before="0" w:after="0"/>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r>
    </w:p>
    <w:p>
      <w:pPr>
        <w:pStyle w:val="Normal"/>
        <w:spacing w:lineRule="auto" w:line="240" w:before="0" w:after="0"/>
        <w:ind w:firstLine="284"/>
        <w:jc w:val="center"/>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t>Реквизиты сторон:</w:t>
      </w:r>
    </w:p>
    <w:p>
      <w:pPr>
        <w:pStyle w:val="Normal"/>
        <w:spacing w:lineRule="auto" w:line="240" w:before="0" w:after="0"/>
        <w:ind w:firstLine="284"/>
        <w:jc w:val="center"/>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r>
    </w:p>
    <w:tbl>
      <w:tblPr>
        <w:tblW w:w="9825" w:type="dxa"/>
        <w:jc w:val="left"/>
        <w:tblInd w:w="0" w:type="dxa"/>
        <w:tblCellMar>
          <w:top w:w="0" w:type="dxa"/>
          <w:left w:w="108" w:type="dxa"/>
          <w:bottom w:w="0" w:type="dxa"/>
          <w:right w:w="108" w:type="dxa"/>
        </w:tblCellMar>
        <w:tblLook w:val="04a0"/>
      </w:tblPr>
      <w:tblGrid>
        <w:gridCol w:w="4988"/>
        <w:gridCol w:w="563"/>
        <w:gridCol w:w="4274"/>
      </w:tblGrid>
      <w:tr>
        <w:trPr>
          <w:trHeight w:val="2078" w:hRule="atLeast"/>
        </w:trPr>
        <w:tc>
          <w:tcPr>
            <w:tcW w:w="4988" w:type="dxa"/>
            <w:tcBorders/>
            <w:shd w:fill="auto" w:val="clear"/>
          </w:tcPr>
          <w:p>
            <w:pPr>
              <w:pStyle w:val="Normal"/>
              <w:spacing w:lineRule="auto" w:line="240" w:before="0" w:after="0"/>
              <w:jc w:val="both"/>
              <w:rPr>
                <w:rFonts w:ascii="Times New Roman" w:hAnsi="Times New Roman" w:eastAsia="Times New Roman"/>
                <w:b/>
                <w:b/>
                <w:bCs/>
                <w:color w:val="000000"/>
                <w:sz w:val="24"/>
                <w:szCs w:val="24"/>
                <w:lang w:eastAsia="ru-RU"/>
              </w:rPr>
            </w:pPr>
            <w:r>
              <w:rPr>
                <w:rFonts w:eastAsia="Times New Roman" w:ascii="Times New Roman" w:hAnsi="Times New Roman"/>
                <w:b/>
                <w:bCs/>
                <w:color w:val="000000"/>
                <w:sz w:val="24"/>
                <w:szCs w:val="24"/>
                <w:lang w:eastAsia="ru-RU"/>
              </w:rPr>
              <w:t>ОРГАНИЗАТОР ТОРГОВ:</w:t>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 xml:space="preserve">Финансовый управляющий Пудова Сергея Анатольевича (далее - Должник) (адрес регистрации: г. Москва, ул. Мосфильмовская, д. 11, корп. 2, кв. 37; дата рождения 16.11.1964 г.; место рождения: г. Москва; СНИЛС 017-995-898 24; ИНН 772857198545), </w:t>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Милых Николай Иванович (ИНН 480700336985, СНИЛС 042-320-958-18) - член НП АУ "ОРИОН" (ОГРН 1117800001880, ИНН 7841017510, адрес: 191028, Санкт-Петербург, ул. Гагаринская, д. 25, литер А, пом. 6Н)</w:t>
            </w:r>
          </w:p>
          <w:p>
            <w:pPr>
              <w:pStyle w:val="Normal"/>
              <w:spacing w:before="0" w:after="0"/>
              <w:jc w:val="both"/>
              <w:rPr>
                <w:rFonts w:ascii="Times New Roman" w:hAnsi="Times New Roman"/>
                <w:b/>
                <w:b/>
                <w:sz w:val="24"/>
                <w:szCs w:val="24"/>
              </w:rPr>
            </w:pPr>
            <w:r>
              <w:rPr>
                <w:rFonts w:ascii="Times New Roman" w:hAnsi="Times New Roman"/>
                <w:sz w:val="24"/>
                <w:szCs w:val="24"/>
              </w:rPr>
              <w:t xml:space="preserve">р/с </w:t>
            </w:r>
            <w:r>
              <w:rPr>
                <w:rFonts w:ascii="Times New Roman" w:hAnsi="Times New Roman"/>
                <w:b/>
                <w:sz w:val="24"/>
                <w:szCs w:val="24"/>
              </w:rPr>
              <w:t>40817810955170551052</w:t>
            </w:r>
            <w:r>
              <w:rPr>
                <w:rFonts w:ascii="Times New Roman" w:hAnsi="Times New Roman"/>
                <w:sz w:val="24"/>
                <w:szCs w:val="24"/>
              </w:rPr>
              <w:t>, Северо-Западный банк ПАО Сбербанк, к/с 30101810500000000653, БИК 044030653</w:t>
            </w:r>
          </w:p>
          <w:p>
            <w:pPr>
              <w:pStyle w:val="Normal"/>
              <w:spacing w:lineRule="auto" w:line="240"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563" w:type="dxa"/>
            <w:tcBorders/>
            <w:shd w:fill="auto" w:val="clear"/>
          </w:tcPr>
          <w:p>
            <w:pPr>
              <w:pStyle w:val="Normal"/>
              <w:spacing w:lineRule="auto" w:line="240" w:before="0" w:after="0"/>
              <w:ind w:firstLine="284"/>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4274" w:type="dxa"/>
            <w:tcBorders/>
            <w:shd w:fill="auto" w:val="clear"/>
          </w:tcPr>
          <w:p>
            <w:pPr>
              <w:pStyle w:val="Normal"/>
              <w:spacing w:lineRule="auto" w:line="240" w:before="0" w:after="0"/>
              <w:jc w:val="both"/>
              <w:rPr>
                <w:rFonts w:ascii="Times New Roman" w:hAnsi="Times New Roman" w:eastAsia="Times New Roman"/>
                <w:b/>
                <w:b/>
                <w:bCs/>
                <w:color w:val="000000"/>
                <w:sz w:val="24"/>
                <w:szCs w:val="24"/>
                <w:lang w:eastAsia="ru-RU"/>
              </w:rPr>
            </w:pPr>
            <w:r>
              <w:rPr>
                <w:rFonts w:eastAsia="Times New Roman" w:ascii="Times New Roman" w:hAnsi="Times New Roman"/>
                <w:color w:val="000000"/>
                <w:sz w:val="24"/>
                <w:szCs w:val="24"/>
                <w:lang w:eastAsia="ru-RU"/>
              </w:rPr>
              <w:tab/>
            </w:r>
            <w:r>
              <w:rPr>
                <w:rFonts w:eastAsia="Times New Roman" w:ascii="Times New Roman" w:hAnsi="Times New Roman"/>
                <w:b/>
                <w:bCs/>
                <w:color w:val="000000"/>
                <w:sz w:val="24"/>
                <w:szCs w:val="24"/>
                <w:lang w:eastAsia="ru-RU"/>
              </w:rPr>
              <w:t>ПРЕТЕНДЕНТ:</w:t>
            </w:r>
          </w:p>
          <w:p>
            <w:pPr>
              <w:pStyle w:val="Normal"/>
              <w:spacing w:lineRule="auto" w:line="240" w:before="0" w:after="0"/>
              <w:jc w:val="both"/>
              <w:rPr>
                <w:rFonts w:ascii="Times New Roman" w:hAnsi="Times New Roman" w:eastAsia="Times New Roman"/>
                <w:b/>
                <w:b/>
                <w:bCs/>
                <w:color w:val="000000"/>
                <w:sz w:val="24"/>
                <w:szCs w:val="24"/>
                <w:lang w:eastAsia="ru-RU"/>
              </w:rPr>
            </w:pPr>
            <w:r>
              <w:rPr>
                <w:rFonts w:eastAsia="Times New Roman" w:ascii="Times New Roman" w:hAnsi="Times New Roman"/>
                <w:b/>
                <w:bCs/>
                <w:color w:val="000000"/>
                <w:sz w:val="24"/>
                <w:szCs w:val="24"/>
                <w:lang w:eastAsia="ru-RU"/>
              </w:rPr>
              <w:t>_________________________________</w:t>
            </w:r>
          </w:p>
          <w:p>
            <w:pPr>
              <w:pStyle w:val="Normal"/>
              <w:spacing w:lineRule="auto" w:line="240"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_________________________________</w:t>
            </w:r>
          </w:p>
          <w:p>
            <w:pPr>
              <w:pStyle w:val="Normal"/>
              <w:spacing w:lineRule="auto" w:line="240"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_________________________________</w:t>
            </w:r>
          </w:p>
          <w:p>
            <w:pPr>
              <w:pStyle w:val="Normal"/>
              <w:spacing w:lineRule="auto" w:line="240"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_________________________________</w:t>
            </w:r>
          </w:p>
          <w:p>
            <w:pPr>
              <w:pStyle w:val="Normal"/>
              <w:spacing w:lineRule="auto" w:line="240"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_________________________________</w:t>
            </w:r>
          </w:p>
          <w:p>
            <w:pPr>
              <w:pStyle w:val="Normal"/>
              <w:spacing w:lineRule="auto" w:line="240"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_________________________________</w:t>
            </w:r>
          </w:p>
          <w:p>
            <w:pPr>
              <w:pStyle w:val="Normal"/>
              <w:spacing w:lineRule="auto" w:line="240"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_________________________________</w:t>
            </w:r>
          </w:p>
          <w:p>
            <w:pPr>
              <w:pStyle w:val="Normal"/>
              <w:spacing w:lineRule="auto" w:line="240"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r>
    </w:tbl>
    <w:p>
      <w:pPr>
        <w:pStyle w:val="Normal"/>
        <w:widowControl/>
        <w:bidi w:val="0"/>
        <w:spacing w:lineRule="auto" w:line="276" w:before="0" w:after="200"/>
        <w:jc w:val="left"/>
        <w:rPr/>
      </w:pPr>
      <w:r>
        <w:rPr/>
      </w:r>
    </w:p>
    <w:sectPr>
      <w:headerReference w:type="default" r:id="rId2"/>
      <w:type w:val="nextPage"/>
      <w:pgSz w:w="11906" w:h="16838"/>
      <w:pgMar w:left="1701" w:right="850" w:header="426" w:top="709" w:footer="72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Arial Unicode MS">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right"/>
      <w:rPr/>
    </w:pPr>
    <w:r>
      <w:rPr/>
    </w:r>
  </w:p>
</w:hdr>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91b63"/>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4"/>
    <w:uiPriority w:val="99"/>
    <w:semiHidden/>
    <w:qFormat/>
    <w:rsid w:val="003d0a5e"/>
    <w:rPr>
      <w:rFonts w:ascii="Calibri" w:hAnsi="Calibri" w:eastAsia="Calibri" w:cs="Times New Roman"/>
    </w:rPr>
  </w:style>
  <w:style w:type="character" w:styleId="Style15" w:customStyle="1">
    <w:name w:val="Нижний колонтитул Знак"/>
    <w:basedOn w:val="DefaultParagraphFont"/>
    <w:link w:val="a6"/>
    <w:uiPriority w:val="99"/>
    <w:semiHidden/>
    <w:qFormat/>
    <w:rsid w:val="003d0a5e"/>
    <w:rPr>
      <w:rFonts w:ascii="Calibri" w:hAnsi="Calibri" w:eastAsia="Calibri" w:cs="Times New Roman"/>
    </w:rPr>
  </w:style>
  <w:style w:type="character" w:styleId="Style16" w:customStyle="1">
    <w:name w:val="Основной текст + Полужирный"/>
    <w:basedOn w:val="DefaultParagraphFont"/>
    <w:qFormat/>
    <w:rsid w:val="00b06f38"/>
    <w:rPr>
      <w:rFonts w:ascii="Times New Roman" w:hAnsi="Times New Roman" w:eastAsia="Times New Roman" w:cs="Times New Roman"/>
      <w:color w:val="000000"/>
      <w:spacing w:val="0"/>
      <w:w w:val="100"/>
      <w:shd w:fill="FFFFFF" w:val="clear"/>
      <w:lang w:val="ru-RU" w:eastAsia="ru-RU" w:bidi="ru-RU"/>
    </w:rPr>
  </w:style>
  <w:style w:type="character" w:styleId="Style17">
    <w:name w:val="Интернет-ссылка"/>
    <w:basedOn w:val="DefaultParagraphFont"/>
    <w:uiPriority w:val="99"/>
    <w:unhideWhenUsed/>
    <w:rsid w:val="00d10603"/>
    <w:rPr>
      <w:color w:val="0563C1" w:themeColor="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ListParagraph">
    <w:name w:val="List Paragraph"/>
    <w:basedOn w:val="Normal"/>
    <w:uiPriority w:val="99"/>
    <w:qFormat/>
    <w:rsid w:val="003c404e"/>
    <w:pPr>
      <w:spacing w:before="0" w:after="200"/>
      <w:ind w:left="720" w:hanging="0"/>
      <w:contextualSpacing/>
    </w:pPr>
    <w:rPr/>
  </w:style>
  <w:style w:type="paragraph" w:styleId="Style23">
    <w:name w:val="Header"/>
    <w:basedOn w:val="Normal"/>
    <w:link w:val="a5"/>
    <w:uiPriority w:val="99"/>
    <w:semiHidden/>
    <w:unhideWhenUsed/>
    <w:rsid w:val="003d0a5e"/>
    <w:pPr>
      <w:tabs>
        <w:tab w:val="clear" w:pos="708"/>
        <w:tab w:val="center" w:pos="4677" w:leader="none"/>
        <w:tab w:val="right" w:pos="9355" w:leader="none"/>
      </w:tabs>
      <w:spacing w:lineRule="auto" w:line="240" w:before="0" w:after="0"/>
    </w:pPr>
    <w:rPr/>
  </w:style>
  <w:style w:type="paragraph" w:styleId="Style24">
    <w:name w:val="Footer"/>
    <w:basedOn w:val="Normal"/>
    <w:link w:val="a7"/>
    <w:uiPriority w:val="99"/>
    <w:semiHidden/>
    <w:unhideWhenUsed/>
    <w:rsid w:val="003d0a5e"/>
    <w:pPr>
      <w:tabs>
        <w:tab w:val="clear" w:pos="708"/>
        <w:tab w:val="center" w:pos="4677" w:leader="none"/>
        <w:tab w:val="right" w:pos="9355" w:leader="none"/>
      </w:tabs>
      <w:spacing w:lineRule="auto" w:line="240" w:before="0" w:after="0"/>
    </w:pPr>
    <w:rPr/>
  </w:style>
  <w:style w:type="paragraph" w:styleId="NoSpacing">
    <w:name w:val="No Spacing"/>
    <w:uiPriority w:val="1"/>
    <w:qFormat/>
    <w:rsid w:val="003f394f"/>
    <w:pPr>
      <w:widowControl/>
      <w:bidi w:val="0"/>
      <w:spacing w:lineRule="auto" w:line="240" w:before="0" w:after="0"/>
      <w:jc w:val="left"/>
    </w:pPr>
    <w:rPr>
      <w:rFonts w:ascii="Arial Unicode MS" w:hAnsi="Arial Unicode MS" w:eastAsia="Arial Unicode MS" w:cs="Arial Unicode MS"/>
      <w:color w:val="000000"/>
      <w:kern w:val="0"/>
      <w:sz w:val="24"/>
      <w:szCs w:val="24"/>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Application>LibreOffice/6.2.0.3$Windows_x86 LibreOffice_project/98c6a8a1c6c7b144ce3cc729e34964b47ce25d62</Application>
  <Pages>2</Pages>
  <Words>1216</Words>
  <Characters>8901</Characters>
  <CharactersWithSpaces>10100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2014-12-15T11:34:00Z</dcterms:created>
  <dc:creator>Каупинен Юлия</dc:creator>
  <dc:description/>
  <dc:language>ru-RU</dc:language>
  <cp:lastModifiedBy>Admin</cp:lastModifiedBy>
  <dcterms:modified xsi:type="dcterms:W3CDTF">2020-08-25T17:18:00Z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